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60" w:rsidRPr="00610E60" w:rsidRDefault="00610E60" w:rsidP="00610E6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10E60">
        <w:rPr>
          <w:rFonts w:ascii="Times New Roman" w:eastAsia="Times New Roman" w:hAnsi="Times New Roman" w:cs="Times New Roman"/>
          <w:color w:val="002080"/>
          <w:sz w:val="24"/>
          <w:szCs w:val="24"/>
          <w:bdr w:val="none" w:sz="0" w:space="0" w:color="auto" w:frame="1"/>
          <w:lang w:eastAsia="ru-RU"/>
        </w:rPr>
        <w:t>Приложение №1</w:t>
      </w:r>
      <w:r w:rsidRPr="00610E60">
        <w:rPr>
          <w:rFonts w:ascii="Times New Roman" w:eastAsia="Times New Roman" w:hAnsi="Times New Roman" w:cs="Times New Roman"/>
          <w:color w:val="002080"/>
          <w:sz w:val="24"/>
          <w:szCs w:val="24"/>
          <w:bdr w:val="none" w:sz="0" w:space="0" w:color="auto" w:frame="1"/>
          <w:lang w:eastAsia="ru-RU"/>
        </w:rPr>
        <w:br/>
        <w:t>             УТВЕРЖДЕН </w:t>
      </w:r>
      <w:r w:rsidRPr="00610E60">
        <w:rPr>
          <w:rFonts w:ascii="Times New Roman" w:eastAsia="Times New Roman" w:hAnsi="Times New Roman" w:cs="Times New Roman"/>
          <w:color w:val="002080"/>
          <w:sz w:val="24"/>
          <w:szCs w:val="24"/>
          <w:bdr w:val="none" w:sz="0" w:space="0" w:color="auto" w:frame="1"/>
          <w:lang w:eastAsia="ru-RU"/>
        </w:rPr>
        <w:br/>
        <w:t>приказом заведующего  </w:t>
      </w:r>
      <w:r w:rsidRPr="00610E60">
        <w:rPr>
          <w:rFonts w:ascii="Times New Roman" w:eastAsia="Times New Roman" w:hAnsi="Times New Roman" w:cs="Times New Roman"/>
          <w:color w:val="002080"/>
          <w:sz w:val="24"/>
          <w:szCs w:val="24"/>
          <w:bdr w:val="none" w:sz="0" w:space="0" w:color="auto" w:frame="1"/>
          <w:lang w:eastAsia="ru-RU"/>
        </w:rPr>
        <w:br/>
        <w:t>от 19.09.2014 г. № 115 - ОД </w:t>
      </w:r>
      <w:r w:rsidRPr="00610E60">
        <w:rPr>
          <w:rFonts w:ascii="Times New Roman" w:eastAsia="Times New Roman" w:hAnsi="Times New Roman" w:cs="Times New Roman"/>
          <w:color w:val="002080"/>
          <w:sz w:val="20"/>
          <w:szCs w:val="20"/>
          <w:bdr w:val="none" w:sz="0" w:space="0" w:color="auto" w:frame="1"/>
          <w:lang w:eastAsia="ru-RU"/>
        </w:rPr>
        <w:br/>
      </w:r>
    </w:p>
    <w:p w:rsidR="00610E60" w:rsidRPr="00610E60" w:rsidRDefault="00610E60" w:rsidP="0061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10E60">
        <w:rPr>
          <w:rFonts w:ascii="Times New Roman" w:eastAsia="Times New Roman" w:hAnsi="Times New Roman" w:cs="Times New Roman"/>
          <w:color w:val="002080"/>
          <w:sz w:val="20"/>
          <w:szCs w:val="20"/>
          <w:bdr w:val="none" w:sz="0" w:space="0" w:color="auto" w:frame="1"/>
          <w:lang w:eastAsia="ru-RU"/>
        </w:rPr>
        <w:br/>
      </w:r>
    </w:p>
    <w:p w:rsidR="00610E60" w:rsidRPr="00610E60" w:rsidRDefault="00610E60" w:rsidP="00610E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>АНТИКОРРУПЦИОННАЯ ПОЛИТИКА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 xml:space="preserve">МБДОУ детского сада №16 станицы </w:t>
      </w:r>
      <w:proofErr w:type="spellStart"/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>Губской</w:t>
      </w:r>
      <w:proofErr w:type="spellEnd"/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</w:r>
    </w:p>
    <w:p w:rsidR="00610E60" w:rsidRPr="00610E60" w:rsidRDefault="00610E60" w:rsidP="0061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>I.      Общие положения.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 xml:space="preserve">1.1. Настоящая Антикоррупционная политика (далее  –  «Политика») является базовым документом МБДОУ детского сада №16 станицы </w:t>
      </w:r>
      <w:proofErr w:type="spellStart"/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>Губксой</w:t>
      </w:r>
      <w:proofErr w:type="spellEnd"/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>, определяющим ключевые принципы и требования, направленные на предотвращение коррупции и соблюдение норм антикоррупционного законодательства Российской Федерации, работниками и иными лицами, которые могут действовать от имени Образовательной организации.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 xml:space="preserve">1.2. </w:t>
      </w:r>
      <w:proofErr w:type="gramStart"/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>Антикоррупционная политика   разработана на основе Федерального закона Российской Федерации от 25.12.2008 № 273-ФЗ «О противодействии коррупции», Указа Президента РФ от 11.04.2014 № 226 «О Национальном плане противодействия коррупции на 2014 - 2015 годы»,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 от 08.11.2013.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1.3.</w:t>
      </w:r>
      <w:proofErr w:type="gramEnd"/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 xml:space="preserve"> Настоящей     Антикоррупционной     политикой       устанавливаются: основные принципы противодействия коррупции; правовые и организационные основы предупреждения коррупции и борьбы с ней; минимизации и (или) ликвидации последствий коррупционных правонарушений.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1.4. Для целей настоящей Антикоррупционной политики используются следующие основные понятия: 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>Коррупция 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25.12.2008 № 273-ФЗ «О противодействии коррупции»).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 xml:space="preserve">Противодействие коррупции - 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lastRenderedPageBreak/>
        <w:t>гражданского общества, организаций и физических лиц в пределах их полномочий (пункт 2 статьи 1 Федерального закона от 25.12.2008 № 273-ФЗ «О противодействии коррупции»):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а) по предупреждению коррупции, в том числе по выявлению и последующему устранению причин коррупции (профилактика коррупции);</w:t>
      </w:r>
      <w:proofErr w:type="gramEnd"/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б) по выявлению, предупреждению, пресечению, раскрытию и расследованию коррупционных правонарушений (борьба с коррупцией);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в) по минимизации и (или) ликвидации последствий коррупционных правонарушений.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Организация - юридическое лицо независимо от формы собственности, организационно-правовой формы и отраслевой принадлежности.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Контрагент - 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>Взятка - 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>Коммерческий подкуп - 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>Конфликт интересов - 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 xml:space="preserve"> (представителем организации) которой он является.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 xml:space="preserve">Личная заинтересованность работника (представителя организации) </w:t>
      </w:r>
      <w:proofErr w:type="gramStart"/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>-з</w:t>
      </w:r>
      <w:proofErr w:type="gramEnd"/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 xml:space="preserve">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lastRenderedPageBreak/>
        <w:t>имущественных прав для себя или для третьих лиц.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II.  Цели и задачи внедрения антикоррупционной политики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2.1.         Основными целями антикоррупционной политики являются: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предупреждение коррупции в Образовательной организации;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обеспечение ответственности за коррупционные правонарушения;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формирование антикоррупционного сознания у работников Образовательной организации;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 xml:space="preserve">2.2. </w:t>
      </w:r>
      <w:proofErr w:type="gramStart"/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>Основные задачи антикоррупционной политики Образовательной организации: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формирование у работников понимания позиции Образовательной организации в неприятии коррупции в любых формах и проявлениях;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минимизация риска вовлечения работников Образовательной организации в коррупционную деятельность;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обеспечение ответственности за коррупционные правонарушения;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мониторинг эффективности мероприятий антикоррупционной политики;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установление обязанности работников Образовательной организации знать и соблюдать требования настоящей политики, основные нормы антикоррупционного законодательства.</w:t>
      </w:r>
      <w:proofErr w:type="gramEnd"/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III.           Основные принципы антикоррупционной деятельности Образовательной организации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Система мер противодействия коррупции в  Образовательной организации основывается на следующих ключевых принципах: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3.1.         Принцип соответствия политики Образовательной организации действующему законодательству и общепринятым нормам.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 </w:t>
      </w:r>
      <w:proofErr w:type="gramStart"/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>Настоящая Антикоррупционная политика соответствует  Конституции Российской Федерации,  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Образовательной организации. 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3.2.</w:t>
      </w:r>
      <w:proofErr w:type="gramEnd"/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 xml:space="preserve">         Принцип личного примера руководства Образовательной организацией.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Ключевая роль руководства Образовательной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3.3.   Принцип вовлеченности работников.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 xml:space="preserve">Информированность работников Образовательной организации о положениях антикоррупционного законодательства и их активное участие в 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lastRenderedPageBreak/>
        <w:t>формировании и реализации антикоррупционных стандартов и процедур.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3.4.         Принцип соразмерности антикоррупционных процедур риску коррупции.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Разработка и выполнение комплекса мероприятий, позволяющих снизить вероятность вовлечения Образовательной организации, его руководителей и сотрудников в коррупционную деятельность, осуществляется с учетом существующих в деятельности Образовательной организации коррупционных рисков.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3.5.         Принцип эффективности антикоррупционных процедур.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 xml:space="preserve">Применение в Образовательной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>приносят значимый результат</w:t>
      </w:r>
      <w:proofErr w:type="gramEnd"/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>.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3.6.     Принцип ответственности и неотвратимости наказания.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Неотвратимость наказания для работников Образовательной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Образовательной организации за реализацию внутриорганизационной антикоррупционной политики.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3.7. Принцип открытости работы.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Информирование контрагентов, партнеров и общественности о принятых в организации антикоррупционных стандартах работы.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3.8.  Принцип постоянного контроля и регулярного мониторинга.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 xml:space="preserve"> их исполнением.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IV.           Область применения политики и круг лиц, 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попадающих под ее действие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Основным кругом лиц, попадающих под действие политики, являются работники Образовательной организации, находящиеся с ней в трудовых отношениях, вне зависимости от занимаемой должности и выполняемых функций, и на других лиц, с которыми Образовательная организация вступает в договорные отношения.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Ответственным за реализацию антикоррупционной политики является заведующий МБДОУ.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V.  Общие обязанности работников Образовательной организации в связи с предупреждением и  противодействием коррупции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Общие обязанности работников Образовательной организации в связи с предупреждением и  противодействием коррупции: 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воздерживаться от совершения и (или) участия в совершении коррупционных правонарушений в интересах или от имени Образовательной организации;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lastRenderedPageBreak/>
        <w:t> 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Образовательной организации;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  незамедлительно информировать непосредственного руководителя/лицо, ответственное за реализацию антикоррупционной политики/руководство Образовательной организации о случаях склонения работника к совершению коррупционных правонарушений;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  незамедлительно информировать непосредственного начальника/лицо, ответственное за реализацию антикоррупционной политики/руководство Образовательной организации о ставшей известной работнику информации о случаях совершения коррупционных правонарушений другими работниками, контрагентами Образовательной организации или иными лицами;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 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VI.           </w:t>
      </w:r>
      <w:proofErr w:type="gramStart"/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>Специальные обязанности работников Образовательной организации в связи с предупреждением и противодействием коррупции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Специальные обязанности в связи с предупреждением и противодействием коррупции могут устанавливаться для следующих категорий лиц, работающих в Образовательной организации: 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руководства Образовательной организацией;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лиц, ответственных за реализацию антикоррупционной политики; 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работников, чья деятельность связана с коррупционными рисками; 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лиц, осуществляющих внутренний контроль и аудит, и т.д.</w:t>
      </w:r>
      <w:proofErr w:type="gramEnd"/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Как общие, так и специальные обязанности включаются в трудовой договор с работником Образовательной организацией (в должностную инструкцию). При условии закрепления обязанностей работника в связи с предупреждением и противодействием коррупции в трудовом договоре (в должностной инструкции)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совершение неправомерных действий, повлекших неисполнение возложенных на него трудовых обязанностей.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В целях обеспечения эффективного исполнения возложенных на работников обязанностей необходимо четко регламентировать процедуры их соблюдения. Так, в частности,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Образовательной организации.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VII.        Перечень антикоррупционных мероприятий и порядок их выполнения (применения)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lastRenderedPageBreak/>
        <w:t>Направление Мероприятие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Нормативное обеспечение, закрепление стандартов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поведения и декларация намерений Введение в документацию о закупках стандартной антикоррупционной оговорки.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Введение антикоррупционных положений в трудовые договоры (должностные инструкции) работников.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Разработка и принятие кодекса этики и служебного поведения работников Образовательной организации.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Разработка и принятие правил, регламентирующих вопросы обмена деловыми подарками и знаками делового гостеприимства.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>Разработка и введение специальных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антикоррупционных процедур 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</w:t>
      </w:r>
      <w:proofErr w:type="gramEnd"/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>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Проведение периодической оценки коррупционных рисков в целях выявления сфер</w:t>
      </w:r>
      <w:proofErr w:type="gramEnd"/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>деятельности организации, наиболее подверженных таким рискам, и разработки соответствующих антикоррупционных мер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Обучение и информирование работников Ежегодное ознакомление работников с нормативными документами, регламентирующими вопросы предупреждения и противодействия коррупции в организации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Проведение обучающих мероприятий по вопросам профилактики и противодействия коррупции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Организация индивидуального консультирования работников по вопросам применения (соблюдения) антикоррупционных стандартов и процедур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Обеспечение соответствия системы внутреннего контроля и аудита организации требованиям антикоррупционной</w:t>
      </w:r>
      <w:proofErr w:type="gramEnd"/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>политики организации Осуществление регулярного контроля соблюдения внутренних процедур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Осуществление регулярного контроля данных бухгалтерского учета, наличия и достоверности первичных документов бухгалтерского учета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 xml:space="preserve">Оценка результатов проводимой антикоррупционной работы и распространение отчетных материалов Проведение регулярной оценки 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lastRenderedPageBreak/>
        <w:t>результатов работы по противодействию коррупции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Подготовка и распространение отчетных материалов о проводимой работе и достигнутых результатах в сфере противодействия коррупции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VIII.</w:t>
      </w:r>
      <w:proofErr w:type="gramEnd"/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 xml:space="preserve">    Профилактика коррупции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 Профилактика коррупции в Образовательной организации осуществляется путем применения следующих основных мер: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  а) формирование в Образовательной организации нетерпимости к коррупционному поведению; 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 Особое внимание уделяется формированию высокого правосознания и правовой культуры работников.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 Антикоррупционная направленность правового формирования основана на повышении у работников позитивного отношения к праву и его соблюдению; повышении уровня правовых знаний, в том числе о коррупционных формах поведения и мерах по их предотвращению; формированию гражданской позиции в отношении коррупции,  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 правонарушений.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  б) антикоррупционная экспертиза локально-нормативных актов  и их проектов, издаваемых в Образовательной организации;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  В целях организации деятельности по предупреждению коррупции в Образовательной организации осуществляется антикоррупционная экспертиза локальных нормативных актов, их проектов и иных документов в целях выявления коррупционных факторов и последующего устранения таких факторов.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IX.           Ответственность работников</w:t>
      </w:r>
      <w:proofErr w:type="gramStart"/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К</w:t>
      </w:r>
      <w:proofErr w:type="gramEnd"/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>аждый работник при заключении трудового договора должен быть ознакомлен под подпись с Антикоррупционной политикой Образовательной организации и локальными нормативными актами, касающимися противодействия коррупции, изданными в Образовательной организации, и соблюдать принципы и требования данных документов.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Работники Образовательной организации,  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Антикоррупционной политики.   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X.  Порядок пересмотра и внесения изменений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в антикоррупционную политику Образовательной организации</w:t>
      </w:r>
      <w:proofErr w:type="gramStart"/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В</w:t>
      </w:r>
      <w:proofErr w:type="gramEnd"/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t xml:space="preserve"> процессе работы должен осуществляться регулярный мониторинг хода и эффективности реализации антикоррупционной политики, а также выявленных фактов коррупции и способов их устранения.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 Основными направлениями антикоррупционной экспертизы является: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lastRenderedPageBreak/>
        <w:t> обобщение и анализ результатов антикоррупционной экспертизы локальных нормативных документов Образовательной организации;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изучение мнения трудового коллектива о состоянии коррупции в Образовательной организации и эффективности принимаемых антикоррупционных мер;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изучение и анализ принимаемых в Образовательной организации мер по противодействию коррупции;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анализ публикаций о коррупции в средствах массовой информации.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Должностное лицо, ответственное за реализацию антикоррупционной политики в Образовательной организации, ежегодно представляет руководству Образовательной организации соответствующий отчет. Если по результатам мониторинга возникают сомнения в эффективности реализуемых антикоррупционных мероприятий, в антикоррупционную политику вносятся изменения и дополнения.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  <w:t>Пересмотр принятой антикоррупционной политики может проводиться и в иных случаях, таких как внесение изменений в Трудовой кодекс РФ и законодательство о противодействии коррупции, а также по представлению предложений работников Образовательной организации.</w:t>
      </w:r>
      <w:r w:rsidRPr="00610E60">
        <w:rPr>
          <w:rFonts w:ascii="Times New Roman" w:eastAsia="Times New Roman" w:hAnsi="Times New Roman" w:cs="Times New Roman"/>
          <w:color w:val="002080"/>
          <w:sz w:val="28"/>
          <w:szCs w:val="28"/>
          <w:bdr w:val="none" w:sz="0" w:space="0" w:color="auto" w:frame="1"/>
          <w:lang w:eastAsia="ru-RU"/>
        </w:rPr>
        <w:br/>
      </w:r>
    </w:p>
    <w:p w:rsidR="00AA2DDE" w:rsidRPr="00104EB6" w:rsidRDefault="00AA2DDE" w:rsidP="00104E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bookmarkStart w:id="0" w:name="_GoBack"/>
      <w:bookmarkEnd w:id="0"/>
    </w:p>
    <w:sectPr w:rsidR="00AA2DDE" w:rsidRPr="0010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DE"/>
    <w:rsid w:val="00052C3E"/>
    <w:rsid w:val="00104EB6"/>
    <w:rsid w:val="004A698D"/>
    <w:rsid w:val="004E2A93"/>
    <w:rsid w:val="004F3394"/>
    <w:rsid w:val="00610E60"/>
    <w:rsid w:val="009863DE"/>
    <w:rsid w:val="00AA2DDE"/>
    <w:rsid w:val="00B85CC1"/>
    <w:rsid w:val="00D043F8"/>
    <w:rsid w:val="00E5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4F3394"/>
  </w:style>
  <w:style w:type="character" w:customStyle="1" w:styleId="ff1">
    <w:name w:val="ff1"/>
    <w:basedOn w:val="a0"/>
    <w:rsid w:val="004F3394"/>
  </w:style>
  <w:style w:type="paragraph" w:styleId="a3">
    <w:name w:val="Normal (Web)"/>
    <w:basedOn w:val="a"/>
    <w:uiPriority w:val="99"/>
    <w:semiHidden/>
    <w:unhideWhenUsed/>
    <w:rsid w:val="0005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32">
    <w:name w:val="fs32"/>
    <w:basedOn w:val="a0"/>
    <w:rsid w:val="00052C3E"/>
  </w:style>
  <w:style w:type="character" w:customStyle="1" w:styleId="fs28">
    <w:name w:val="fs28"/>
    <w:basedOn w:val="a0"/>
    <w:rsid w:val="00052C3E"/>
  </w:style>
  <w:style w:type="character" w:customStyle="1" w:styleId="fs20">
    <w:name w:val="fs20"/>
    <w:basedOn w:val="a0"/>
    <w:rsid w:val="00052C3E"/>
  </w:style>
  <w:style w:type="character" w:customStyle="1" w:styleId="fs24">
    <w:name w:val="fs24"/>
    <w:basedOn w:val="a0"/>
    <w:rsid w:val="00610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4F3394"/>
  </w:style>
  <w:style w:type="character" w:customStyle="1" w:styleId="ff1">
    <w:name w:val="ff1"/>
    <w:basedOn w:val="a0"/>
    <w:rsid w:val="004F3394"/>
  </w:style>
  <w:style w:type="paragraph" w:styleId="a3">
    <w:name w:val="Normal (Web)"/>
    <w:basedOn w:val="a"/>
    <w:uiPriority w:val="99"/>
    <w:semiHidden/>
    <w:unhideWhenUsed/>
    <w:rsid w:val="0005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32">
    <w:name w:val="fs32"/>
    <w:basedOn w:val="a0"/>
    <w:rsid w:val="00052C3E"/>
  </w:style>
  <w:style w:type="character" w:customStyle="1" w:styleId="fs28">
    <w:name w:val="fs28"/>
    <w:basedOn w:val="a0"/>
    <w:rsid w:val="00052C3E"/>
  </w:style>
  <w:style w:type="character" w:customStyle="1" w:styleId="fs20">
    <w:name w:val="fs20"/>
    <w:basedOn w:val="a0"/>
    <w:rsid w:val="00052C3E"/>
  </w:style>
  <w:style w:type="character" w:customStyle="1" w:styleId="fs24">
    <w:name w:val="fs24"/>
    <w:basedOn w:val="a0"/>
    <w:rsid w:val="00610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2698</Words>
  <Characters>15383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Dogma</dc:creator>
  <cp:keywords/>
  <dc:description/>
  <cp:lastModifiedBy>Dogma</cp:lastModifiedBy>
  <cp:revision>19</cp:revision>
  <dcterms:created xsi:type="dcterms:W3CDTF">2017-11-24T06:40:00Z</dcterms:created>
  <dcterms:modified xsi:type="dcterms:W3CDTF">2017-11-24T08:45:00Z</dcterms:modified>
</cp:coreProperties>
</file>