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E6300" w:rsidRPr="00A8570F" w:rsidRDefault="005E6300" w:rsidP="005E6300">
      <w:pPr>
        <w:suppressAutoHyphens/>
        <w:spacing w:after="120"/>
        <w:jc w:val="center"/>
        <w:rPr>
          <w:rFonts w:eastAsia="SimSun" w:cs="Calibri"/>
          <w:b/>
          <w:bCs/>
          <w:sz w:val="24"/>
          <w:szCs w:val="24"/>
        </w:rPr>
      </w:pPr>
      <w:r w:rsidRPr="00A8570F">
        <w:rPr>
          <w:rFonts w:eastAsia="SimSun" w:cs="Calibri"/>
          <w:b/>
          <w:bCs/>
          <w:sz w:val="24"/>
          <w:szCs w:val="24"/>
        </w:rPr>
        <w:t xml:space="preserve">КРАЕВОЙ ОБРАЗОВАТЕЛЬНЫЙ ПРОЕКТ </w:t>
      </w:r>
    </w:p>
    <w:p w:rsidR="005E6300" w:rsidRPr="00A8570F" w:rsidRDefault="005E6300" w:rsidP="005E6300">
      <w:pPr>
        <w:suppressAutoHyphens/>
        <w:spacing w:after="120"/>
        <w:jc w:val="center"/>
        <w:rPr>
          <w:rFonts w:eastAsia="SimSun"/>
          <w:b/>
          <w:bCs/>
          <w:sz w:val="24"/>
          <w:szCs w:val="24"/>
        </w:rPr>
      </w:pPr>
      <w:r w:rsidRPr="00A8570F">
        <w:rPr>
          <w:rFonts w:eastAsia="SimSun" w:cs="Calibri"/>
          <w:b/>
          <w:bCs/>
          <w:sz w:val="24"/>
          <w:szCs w:val="24"/>
        </w:rPr>
        <w:t>«</w:t>
      </w:r>
      <w:r w:rsidRPr="00A8570F">
        <w:rPr>
          <w:rFonts w:eastAsia="SimSun"/>
          <w:b/>
          <w:bCs/>
          <w:sz w:val="24"/>
          <w:szCs w:val="24"/>
        </w:rPr>
        <w:t>ЦЕНТР РАЗВИТИЯ ЗАКУПОК МАЛОГО И СРЕДНЕГО БИЗНЕСА КУБАНИ»</w:t>
      </w:r>
    </w:p>
    <w:p w:rsidR="00E40159" w:rsidRPr="001E6095" w:rsidRDefault="00A8570F" w:rsidP="00D042A3">
      <w:pPr>
        <w:tabs>
          <w:tab w:val="left" w:pos="3776"/>
        </w:tabs>
        <w:ind w:firstLine="709"/>
        <w:jc w:val="center"/>
        <w:rPr>
          <w:sz w:val="24"/>
          <w:szCs w:val="24"/>
        </w:rPr>
      </w:pPr>
      <w:r w:rsidRPr="001E6095">
        <w:rPr>
          <w:rFonts w:eastAsia="SimSun" w:cs="Calibri"/>
          <w:bCs/>
          <w:sz w:val="24"/>
          <w:szCs w:val="24"/>
        </w:rPr>
        <w:t>(</w:t>
      </w:r>
      <w:r w:rsidR="001E6095" w:rsidRPr="001E6095">
        <w:rPr>
          <w:sz w:val="24"/>
          <w:szCs w:val="24"/>
        </w:rPr>
        <w:t xml:space="preserve">21 октября 2016 года </w:t>
      </w:r>
      <w:r w:rsidR="001E6095" w:rsidRPr="001E6095">
        <w:rPr>
          <w:bCs/>
          <w:color w:val="00000A"/>
          <w:sz w:val="24"/>
          <w:szCs w:val="24"/>
        </w:rPr>
        <w:t xml:space="preserve">с 11.00 до 16.00 часов </w:t>
      </w:r>
      <w:r w:rsidR="001E6095" w:rsidRPr="001E6095">
        <w:rPr>
          <w:sz w:val="24"/>
          <w:szCs w:val="24"/>
        </w:rPr>
        <w:t>по адресу: г. Краснодар, ул. Трамвайная, д. 2/6, бизнес центр «Меркурий», 1 этаж, Центр поддержки предпринимательства</w:t>
      </w:r>
      <w:r w:rsidR="00E40159" w:rsidRPr="001E6095">
        <w:rPr>
          <w:sz w:val="24"/>
          <w:szCs w:val="24"/>
        </w:rPr>
        <w:t>)</w:t>
      </w:r>
    </w:p>
    <w:p w:rsidR="005E6300" w:rsidRPr="00A8570F" w:rsidRDefault="005E6300" w:rsidP="005E6300">
      <w:pPr>
        <w:suppressAutoHyphens/>
        <w:spacing w:after="120"/>
        <w:jc w:val="center"/>
        <w:rPr>
          <w:rFonts w:eastAsia="SimSun" w:cs="Calibri"/>
          <w:color w:val="00000A"/>
          <w:sz w:val="24"/>
          <w:szCs w:val="24"/>
          <w:lang w:eastAsia="en-US"/>
        </w:rPr>
      </w:pPr>
      <w:r w:rsidRPr="00A8570F">
        <w:rPr>
          <w:rFonts w:eastAsia="SimSun" w:cs="Calibri"/>
          <w:b/>
          <w:bCs/>
          <w:sz w:val="24"/>
          <w:szCs w:val="24"/>
        </w:rPr>
        <w:t>ПРОГРАММА СЕМИНАРА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5E6300" w:rsidRPr="00A8570F" w:rsidTr="0098323B">
        <w:trPr>
          <w:trHeight w:val="402"/>
          <w:tblHeader/>
        </w:trPr>
        <w:tc>
          <w:tcPr>
            <w:tcW w:w="1560" w:type="dxa"/>
            <w:vAlign w:val="center"/>
          </w:tcPr>
          <w:p w:rsidR="005E6300" w:rsidRPr="00A8570F" w:rsidRDefault="005E6300" w:rsidP="005E6300">
            <w:pPr>
              <w:suppressAutoHyphens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9072" w:type="dxa"/>
            <w:vAlign w:val="center"/>
          </w:tcPr>
          <w:p w:rsidR="005E6300" w:rsidRPr="00A8570F" w:rsidRDefault="005E6300" w:rsidP="005E6300">
            <w:pPr>
              <w:suppressAutoHyphens/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</w:tr>
      <w:tr w:rsidR="005E6300" w:rsidRPr="00A8570F" w:rsidTr="0098323B">
        <w:trPr>
          <w:trHeight w:val="378"/>
        </w:trPr>
        <w:tc>
          <w:tcPr>
            <w:tcW w:w="1560" w:type="dxa"/>
            <w:vAlign w:val="center"/>
          </w:tcPr>
          <w:p w:rsidR="005E6300" w:rsidRPr="00A8570F" w:rsidRDefault="002A4BF8" w:rsidP="002A4BF8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="005E6300" w:rsidRPr="00A8570F">
              <w:rPr>
                <w:rFonts w:eastAsia="Times New Roman"/>
                <w:color w:val="000000"/>
                <w:sz w:val="24"/>
                <w:szCs w:val="24"/>
              </w:rPr>
              <w:t>.30</w:t>
            </w:r>
            <w:r w:rsidR="0098323B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5E6300" w:rsidRPr="00A8570F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5E6300" w:rsidRPr="00A8570F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072" w:type="dxa"/>
            <w:vAlign w:val="center"/>
          </w:tcPr>
          <w:p w:rsidR="005E6300" w:rsidRPr="00A8570F" w:rsidRDefault="005E6300" w:rsidP="005E6300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5E6300" w:rsidRPr="00A8570F" w:rsidTr="0098323B">
        <w:trPr>
          <w:trHeight w:val="1618"/>
        </w:trPr>
        <w:tc>
          <w:tcPr>
            <w:tcW w:w="1560" w:type="dxa"/>
            <w:vAlign w:val="center"/>
          </w:tcPr>
          <w:p w:rsidR="005E6300" w:rsidRPr="00A8570F" w:rsidRDefault="002A4BF8" w:rsidP="002A4BF8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 w:rsidR="005E6300" w:rsidRPr="00A8570F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5E6300" w:rsidRPr="00A8570F">
              <w:rPr>
                <w:rFonts w:eastAsia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Открытие семинара</w:t>
            </w:r>
          </w:p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Приветственное слово представителей:</w:t>
            </w:r>
          </w:p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Гарантийного фонда Краснодарского края</w:t>
            </w:r>
          </w:p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 xml:space="preserve">департамента промышленной политики Краснодарского края </w:t>
            </w:r>
          </w:p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 xml:space="preserve">департамента по регулированию контрактной системы Краснодарского края </w:t>
            </w:r>
          </w:p>
        </w:tc>
      </w:tr>
      <w:tr w:rsidR="005E6300" w:rsidRPr="00A8570F" w:rsidTr="0098323B">
        <w:trPr>
          <w:trHeight w:val="2959"/>
        </w:trPr>
        <w:tc>
          <w:tcPr>
            <w:tcW w:w="1560" w:type="dxa"/>
            <w:vAlign w:val="center"/>
          </w:tcPr>
          <w:p w:rsidR="005E6300" w:rsidRPr="00A8570F" w:rsidRDefault="005E6300" w:rsidP="00A241A2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A241A2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.30-1</w:t>
            </w:r>
            <w:r w:rsidR="00A241A2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E6300" w:rsidRPr="00A8570F" w:rsidRDefault="005E6300" w:rsidP="005E6300">
            <w:pPr>
              <w:suppressAutoHyphens/>
              <w:spacing w:after="0"/>
              <w:ind w:left="63"/>
              <w:rPr>
                <w:rFonts w:eastAsia="Times New Roman"/>
                <w:b/>
                <w:sz w:val="24"/>
                <w:szCs w:val="24"/>
              </w:rPr>
            </w:pPr>
            <w:r w:rsidRPr="00A8570F">
              <w:rPr>
                <w:rFonts w:eastAsia="Times New Roman"/>
                <w:b/>
                <w:sz w:val="24"/>
                <w:szCs w:val="24"/>
              </w:rPr>
              <w:t>Что нужно знать начинающему участнику закупок</w:t>
            </w:r>
          </w:p>
          <w:p w:rsidR="005E6300" w:rsidRPr="00A8570F" w:rsidRDefault="005E6300" w:rsidP="005E6300">
            <w:pPr>
              <w:suppressAutoHyphens/>
              <w:spacing w:before="80" w:after="0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Правовое регулирование закупок товаров, работ и услуг для обеспечения государственных и муниципальных нужд</w:t>
            </w:r>
          </w:p>
          <w:p w:rsidR="005E6300" w:rsidRPr="00A8570F" w:rsidRDefault="005E6300" w:rsidP="005E6300">
            <w:pPr>
              <w:suppressAutoHyphens/>
              <w:spacing w:before="80" w:after="0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bCs/>
                <w:sz w:val="24"/>
                <w:szCs w:val="24"/>
              </w:rPr>
              <w:t>Понятийный аппарат закона о контрактной системе как необходимый инструмент для успешного участия в закупках</w:t>
            </w:r>
          </w:p>
          <w:p w:rsidR="005E6300" w:rsidRPr="00A8570F" w:rsidRDefault="005E6300" w:rsidP="005E6300">
            <w:pPr>
              <w:suppressAutoHyphens/>
              <w:spacing w:before="80" w:after="0"/>
              <w:ind w:left="6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 xml:space="preserve">Основные отличия </w:t>
            </w:r>
            <w:r w:rsidRPr="00A8570F">
              <w:rPr>
                <w:rFonts w:eastAsia="Times New Roman"/>
                <w:bCs/>
                <w:color w:val="00000A"/>
                <w:sz w:val="24"/>
                <w:szCs w:val="24"/>
              </w:rPr>
              <w:t xml:space="preserve">участия в закупках отдельных видов юридических лиц (ФЗ № 223-ФЗ) от </w:t>
            </w:r>
            <w:r w:rsidRPr="00A8570F">
              <w:rPr>
                <w:rFonts w:eastAsia="Times New Roman"/>
                <w:bCs/>
                <w:color w:val="000000"/>
                <w:sz w:val="24"/>
                <w:szCs w:val="24"/>
              </w:rPr>
              <w:t>закупок в контрактной системе (ФЗ № 44-ФЗ)</w:t>
            </w:r>
          </w:p>
          <w:p w:rsidR="005E6300" w:rsidRPr="00A8570F" w:rsidRDefault="005E6300" w:rsidP="005E6300">
            <w:pPr>
              <w:spacing w:before="80" w:after="0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Единая информационная система. Электронная подпись. Аккредитация на электронных площадках. Возможности поиска и аналитики закупок в ЕИС</w:t>
            </w:r>
          </w:p>
          <w:p w:rsidR="005E6300" w:rsidRPr="00A8570F" w:rsidRDefault="005E6300" w:rsidP="005E6300">
            <w:pPr>
              <w:suppressAutoHyphens/>
              <w:spacing w:before="40" w:after="0" w:line="276" w:lineRule="auto"/>
              <w:ind w:left="63"/>
              <w:rPr>
                <w:rFonts w:eastAsia="SimSun"/>
                <w:bCs/>
                <w:sz w:val="24"/>
                <w:szCs w:val="24"/>
                <w:lang w:eastAsia="en-US"/>
              </w:rPr>
            </w:pPr>
            <w:r w:rsidRPr="00A8570F">
              <w:rPr>
                <w:rFonts w:eastAsia="SimSun"/>
                <w:color w:val="00000A"/>
                <w:sz w:val="24"/>
                <w:szCs w:val="24"/>
                <w:lang w:eastAsia="en-US"/>
              </w:rPr>
              <w:t>Импортозамещение и меры поддержки отечественного производителя</w:t>
            </w:r>
          </w:p>
        </w:tc>
      </w:tr>
      <w:tr w:rsidR="005E6300" w:rsidRPr="00A8570F" w:rsidTr="0098323B">
        <w:trPr>
          <w:trHeight w:val="301"/>
        </w:trPr>
        <w:tc>
          <w:tcPr>
            <w:tcW w:w="1560" w:type="dxa"/>
            <w:vAlign w:val="center"/>
          </w:tcPr>
          <w:p w:rsidR="005E6300" w:rsidRPr="00A8570F" w:rsidRDefault="005E6300" w:rsidP="00EB6DFD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B6DFD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 w:rsidR="00EB6DF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072" w:type="dxa"/>
            <w:vAlign w:val="center"/>
          </w:tcPr>
          <w:p w:rsidR="005E6300" w:rsidRPr="00A8570F" w:rsidRDefault="005E6300" w:rsidP="005E6300">
            <w:pPr>
              <w:suppressAutoHyphens/>
              <w:spacing w:after="0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Перерыв</w:t>
            </w:r>
          </w:p>
        </w:tc>
      </w:tr>
      <w:tr w:rsidR="005E6300" w:rsidRPr="00A8570F" w:rsidTr="0098323B">
        <w:trPr>
          <w:trHeight w:val="5047"/>
        </w:trPr>
        <w:tc>
          <w:tcPr>
            <w:tcW w:w="1560" w:type="dxa"/>
            <w:vAlign w:val="center"/>
          </w:tcPr>
          <w:p w:rsidR="005E6300" w:rsidRPr="00A8570F" w:rsidRDefault="005E6300" w:rsidP="00EB6DFD">
            <w:pPr>
              <w:suppressAutoHyphens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A8570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  <w:r w:rsidR="00EB6DF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.00-1</w:t>
            </w:r>
            <w:r w:rsidR="00EB6DF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A8570F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E6300" w:rsidRPr="00A8570F" w:rsidRDefault="005E6300" w:rsidP="005E6300">
            <w:pPr>
              <w:shd w:val="clear" w:color="auto" w:fill="FFFFFF"/>
              <w:spacing w:before="8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b/>
                <w:sz w:val="24"/>
                <w:szCs w:val="24"/>
              </w:rPr>
              <w:t>Как подготовиться к участию в государственных закупках</w:t>
            </w:r>
            <w:r w:rsidRPr="00A8570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Участники закупки, требования к участникам закупки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Преференции субъектам малого и среднего предпринимательства в закупках</w:t>
            </w:r>
          </w:p>
          <w:p w:rsidR="005E6300" w:rsidRPr="00A8570F" w:rsidRDefault="005E6300" w:rsidP="005E6300">
            <w:pPr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Способы определения поставщиков (подрядчиков, исполнителей). Особенности осуществления закупок в электронной форме</w:t>
            </w:r>
          </w:p>
          <w:p w:rsidR="005E6300" w:rsidRPr="00A8570F" w:rsidRDefault="005E6300" w:rsidP="005E6300">
            <w:pPr>
              <w:spacing w:before="40" w:after="0" w:line="276" w:lineRule="auto"/>
              <w:ind w:left="63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Алгоритм действий при выходе на рынок госзакупок, этапы подготовки заявки:</w:t>
            </w:r>
          </w:p>
          <w:p w:rsidR="005E6300" w:rsidRPr="00A8570F" w:rsidRDefault="005E6300" w:rsidP="005E6300">
            <w:pPr>
              <w:numPr>
                <w:ilvl w:val="1"/>
                <w:numId w:val="2"/>
              </w:numPr>
              <w:shd w:val="clear" w:color="auto" w:fill="FFFFFF"/>
              <w:suppressAutoHyphens/>
              <w:spacing w:after="0" w:line="276" w:lineRule="auto"/>
              <w:ind w:left="769" w:hanging="425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Изучение извещения, документации и проекта контракта;</w:t>
            </w:r>
          </w:p>
          <w:p w:rsidR="005E6300" w:rsidRPr="00A8570F" w:rsidRDefault="005E6300" w:rsidP="005E6300">
            <w:pPr>
              <w:numPr>
                <w:ilvl w:val="1"/>
                <w:numId w:val="2"/>
              </w:numPr>
              <w:shd w:val="clear" w:color="auto" w:fill="FFFFFF"/>
              <w:suppressAutoHyphens/>
              <w:spacing w:after="0" w:line="276" w:lineRule="auto"/>
              <w:ind w:left="769" w:hanging="425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Анализ обязательных и дополнительных требований;</w:t>
            </w:r>
          </w:p>
          <w:p w:rsidR="005E6300" w:rsidRPr="00A8570F" w:rsidRDefault="005E6300" w:rsidP="005E6300">
            <w:pPr>
              <w:numPr>
                <w:ilvl w:val="1"/>
                <w:numId w:val="2"/>
              </w:numPr>
              <w:shd w:val="clear" w:color="auto" w:fill="FFFFFF"/>
              <w:suppressAutoHyphens/>
              <w:spacing w:after="0" w:line="276" w:lineRule="auto"/>
              <w:ind w:left="769" w:hanging="425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Изучение инструкции по заполнению заявки;</w:t>
            </w:r>
          </w:p>
          <w:p w:rsidR="005E6300" w:rsidRPr="00A8570F" w:rsidRDefault="005E6300" w:rsidP="005E6300">
            <w:pPr>
              <w:numPr>
                <w:ilvl w:val="1"/>
                <w:numId w:val="2"/>
              </w:numPr>
              <w:shd w:val="clear" w:color="auto" w:fill="FFFFFF"/>
              <w:suppressAutoHyphens/>
              <w:spacing w:after="0" w:line="276" w:lineRule="auto"/>
              <w:ind w:left="769" w:hanging="425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Заполнение заявки, подготовка сопроводительных документов;</w:t>
            </w:r>
          </w:p>
          <w:p w:rsidR="005E6300" w:rsidRPr="00A8570F" w:rsidRDefault="005E6300" w:rsidP="005E6300">
            <w:pPr>
              <w:numPr>
                <w:ilvl w:val="1"/>
                <w:numId w:val="2"/>
              </w:numPr>
              <w:shd w:val="clear" w:color="auto" w:fill="FFFFFF"/>
              <w:suppressAutoHyphens/>
              <w:spacing w:after="0" w:line="276" w:lineRule="auto"/>
              <w:ind w:left="769" w:hanging="425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Проверка полномочий, оформление и подача заявки.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Особенности заключения, изменения и исполнения контракта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Финансовое обеспечение закупки. Антикризисные меры в закупках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Ответственность сторон на этапах определения поставщика и выполнения контракта. Возможности взыскания неустойки с заказчика</w:t>
            </w:r>
          </w:p>
          <w:p w:rsidR="005E6300" w:rsidRPr="00A8570F" w:rsidRDefault="005E6300" w:rsidP="005E6300">
            <w:pPr>
              <w:shd w:val="clear" w:color="auto" w:fill="FFFFFF"/>
              <w:spacing w:before="40" w:after="0" w:line="276" w:lineRule="auto"/>
              <w:ind w:left="61"/>
              <w:rPr>
                <w:rFonts w:eastAsia="Times New Roman"/>
                <w:sz w:val="24"/>
                <w:szCs w:val="24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Реестр недобросовестных поставщиков (подрядчиков, исполнителей)</w:t>
            </w:r>
          </w:p>
          <w:p w:rsidR="005E6300" w:rsidRPr="00A8570F" w:rsidRDefault="005E6300" w:rsidP="005E6300">
            <w:pPr>
              <w:spacing w:before="40" w:after="0" w:line="276" w:lineRule="auto"/>
              <w:ind w:left="63"/>
              <w:rPr>
                <w:rFonts w:eastAsia="SimSun"/>
                <w:bCs/>
                <w:sz w:val="24"/>
                <w:szCs w:val="24"/>
                <w:lang w:eastAsia="en-US"/>
              </w:rPr>
            </w:pPr>
            <w:r w:rsidRPr="00A8570F">
              <w:rPr>
                <w:rFonts w:eastAsia="Times New Roman"/>
                <w:sz w:val="24"/>
                <w:szCs w:val="24"/>
              </w:rPr>
              <w:t>Возможности защиты нарушенных прав участников закупок</w:t>
            </w:r>
          </w:p>
        </w:tc>
      </w:tr>
    </w:tbl>
    <w:p w:rsidR="000C1FB4" w:rsidRPr="00173DDC" w:rsidRDefault="000C1FB4" w:rsidP="005E6300">
      <w:pPr>
        <w:spacing w:after="0"/>
        <w:rPr>
          <w:b/>
          <w:sz w:val="6"/>
          <w:szCs w:val="6"/>
        </w:rPr>
      </w:pPr>
      <w:bookmarkStart w:id="0" w:name="_GoBack"/>
      <w:bookmarkEnd w:id="0"/>
    </w:p>
    <w:sectPr w:rsidR="000C1FB4" w:rsidRPr="00173DDC" w:rsidSect="00133345">
      <w:headerReference w:type="first" r:id="rId8"/>
      <w:pgSz w:w="11907" w:h="16839" w:code="9"/>
      <w:pgMar w:top="1395" w:right="624" w:bottom="284" w:left="680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DB" w:rsidRDefault="00100ADB" w:rsidP="00945925">
      <w:pPr>
        <w:spacing w:after="0"/>
      </w:pPr>
      <w:r>
        <w:separator/>
      </w:r>
    </w:p>
  </w:endnote>
  <w:endnote w:type="continuationSeparator" w:id="0">
    <w:p w:rsidR="00100ADB" w:rsidRDefault="00100ADB" w:rsidP="00945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DB" w:rsidRDefault="00100ADB" w:rsidP="00945925">
      <w:pPr>
        <w:spacing w:after="0"/>
      </w:pPr>
      <w:r>
        <w:separator/>
      </w:r>
    </w:p>
  </w:footnote>
  <w:footnote w:type="continuationSeparator" w:id="0">
    <w:p w:rsidR="00100ADB" w:rsidRDefault="00100ADB" w:rsidP="00945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68"/>
      <w:gridCol w:w="2551"/>
      <w:gridCol w:w="2835"/>
    </w:tblGrid>
    <w:tr w:rsidR="007207F2" w:rsidTr="00A8570F">
      <w:tc>
        <w:tcPr>
          <w:tcW w:w="2694" w:type="dxa"/>
        </w:tcPr>
        <w:p w:rsidR="007207F2" w:rsidRDefault="007207F2" w:rsidP="000C1FB4">
          <w:pPr>
            <w:rPr>
              <w:b/>
            </w:rPr>
          </w:pPr>
        </w:p>
      </w:tc>
      <w:tc>
        <w:tcPr>
          <w:tcW w:w="2268" w:type="dxa"/>
        </w:tcPr>
        <w:p w:rsidR="007207F2" w:rsidRPr="007207F2" w:rsidRDefault="007207F2" w:rsidP="000C1FB4"/>
      </w:tc>
      <w:tc>
        <w:tcPr>
          <w:tcW w:w="5386" w:type="dxa"/>
          <w:gridSpan w:val="2"/>
        </w:tcPr>
        <w:p w:rsidR="007207F2" w:rsidRPr="00A8570F" w:rsidRDefault="007207F2" w:rsidP="000C1FB4">
          <w:pPr>
            <w:rPr>
              <w:sz w:val="20"/>
              <w:szCs w:val="20"/>
            </w:rPr>
          </w:pPr>
          <w:r w:rsidRPr="00A8570F">
            <w:rPr>
              <w:sz w:val="20"/>
              <w:szCs w:val="20"/>
            </w:rPr>
            <w:t xml:space="preserve">                  </w:t>
          </w:r>
          <w:r w:rsidR="00A8570F">
            <w:rPr>
              <w:sz w:val="20"/>
              <w:szCs w:val="20"/>
            </w:rPr>
            <w:t xml:space="preserve">              </w:t>
          </w:r>
          <w:r w:rsidR="000313AD">
            <w:rPr>
              <w:sz w:val="20"/>
              <w:szCs w:val="20"/>
            </w:rPr>
            <w:t xml:space="preserve">     </w:t>
          </w:r>
          <w:r w:rsidRPr="00A8570F">
            <w:rPr>
              <w:sz w:val="20"/>
              <w:szCs w:val="20"/>
            </w:rPr>
            <w:t>При поддержке:</w:t>
          </w:r>
        </w:p>
      </w:tc>
    </w:tr>
    <w:tr w:rsidR="007207F2" w:rsidTr="00A8570F">
      <w:tc>
        <w:tcPr>
          <w:tcW w:w="2694" w:type="dxa"/>
        </w:tcPr>
        <w:p w:rsidR="007207F2" w:rsidRDefault="007207F2" w:rsidP="007207F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DE48414" wp14:editId="22ABE755">
                <wp:extent cx="368490" cy="439160"/>
                <wp:effectExtent l="0" t="0" r="0" b="0"/>
                <wp:docPr id="2" name="Рисунок 2" descr="C:\Users\Женя\AppData\Local\Microsoft\Windows\INetCacheContent.Word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Женя\AppData\Local\Microsoft\Windows\INetCacheContent.Word\image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223" cy="4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7207F2" w:rsidRPr="007B5E54" w:rsidRDefault="007541FD" w:rsidP="007207F2">
          <w:pPr>
            <w:jc w:val="center"/>
            <w:rPr>
              <w:b/>
              <w:noProof/>
            </w:rPr>
          </w:pPr>
          <w:r w:rsidRPr="007B5E54">
            <w:rPr>
              <w:b/>
              <w:noProof/>
            </w:rPr>
            <w:drawing>
              <wp:anchor distT="0" distB="0" distL="114300" distR="114300" simplePos="0" relativeHeight="251697152" behindDoc="1" locked="0" layoutInCell="1" allowOverlap="1" wp14:anchorId="0F5BFC19" wp14:editId="56E311E3">
                <wp:simplePos x="0" y="0"/>
                <wp:positionH relativeFrom="margin">
                  <wp:posOffset>472857</wp:posOffset>
                </wp:positionH>
                <wp:positionV relativeFrom="margin">
                  <wp:posOffset>-43654</wp:posOffset>
                </wp:positionV>
                <wp:extent cx="409432" cy="409432"/>
                <wp:effectExtent l="0" t="0" r="0" b="0"/>
                <wp:wrapNone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432" cy="409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:rsidR="007207F2" w:rsidRDefault="00C33D85" w:rsidP="007207F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64A2AE" wp14:editId="21C1A3D6">
                <wp:extent cx="354842" cy="413332"/>
                <wp:effectExtent l="0" t="0" r="762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378238" cy="44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7207F2" w:rsidRDefault="007207F2" w:rsidP="007207F2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95104" behindDoc="0" locked="0" layoutInCell="1" allowOverlap="1" wp14:anchorId="00ACA88E" wp14:editId="7ACAEE14">
                <wp:simplePos x="0" y="0"/>
                <wp:positionH relativeFrom="margin">
                  <wp:posOffset>600312</wp:posOffset>
                </wp:positionH>
                <wp:positionV relativeFrom="paragraph">
                  <wp:posOffset>10321</wp:posOffset>
                </wp:positionV>
                <wp:extent cx="402609" cy="436160"/>
                <wp:effectExtent l="0" t="0" r="0" b="254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уполномоченный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609" cy="43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07F2" w:rsidRPr="00A8570F" w:rsidTr="00A8570F">
      <w:tc>
        <w:tcPr>
          <w:tcW w:w="2694" w:type="dxa"/>
        </w:tcPr>
        <w:p w:rsidR="007541FD" w:rsidRPr="00A8570F" w:rsidRDefault="007541FD" w:rsidP="007207F2">
          <w:pPr>
            <w:jc w:val="center"/>
            <w:rPr>
              <w:sz w:val="16"/>
            </w:rPr>
          </w:pPr>
        </w:p>
        <w:p w:rsidR="007541FD" w:rsidRPr="00A8570F" w:rsidRDefault="007207F2" w:rsidP="007207F2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 xml:space="preserve">Гарантийный фонд </w:t>
          </w:r>
        </w:p>
        <w:p w:rsidR="007207F2" w:rsidRPr="00A8570F" w:rsidRDefault="007207F2" w:rsidP="007541FD">
          <w:pPr>
            <w:jc w:val="center"/>
            <w:rPr>
              <w:sz w:val="18"/>
              <w:szCs w:val="18"/>
              <w:lang w:val="en-US"/>
            </w:rPr>
          </w:pPr>
          <w:r w:rsidRPr="00A8570F">
            <w:rPr>
              <w:sz w:val="18"/>
              <w:szCs w:val="18"/>
            </w:rPr>
            <w:t>Краснодарского края</w:t>
          </w:r>
        </w:p>
      </w:tc>
      <w:tc>
        <w:tcPr>
          <w:tcW w:w="2268" w:type="dxa"/>
        </w:tcPr>
        <w:p w:rsidR="007541FD" w:rsidRPr="00A8570F" w:rsidRDefault="007541FD" w:rsidP="007207F2">
          <w:pPr>
            <w:jc w:val="center"/>
            <w:rPr>
              <w:sz w:val="16"/>
            </w:rPr>
          </w:pPr>
        </w:p>
        <w:p w:rsidR="007207F2" w:rsidRPr="00A8570F" w:rsidRDefault="007207F2" w:rsidP="007541FD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>Академия стратегического управления</w:t>
          </w:r>
        </w:p>
      </w:tc>
      <w:tc>
        <w:tcPr>
          <w:tcW w:w="2551" w:type="dxa"/>
        </w:tcPr>
        <w:p w:rsidR="007541FD" w:rsidRPr="00A8570F" w:rsidRDefault="007541FD" w:rsidP="007207F2">
          <w:pPr>
            <w:jc w:val="center"/>
            <w:rPr>
              <w:sz w:val="16"/>
            </w:rPr>
          </w:pPr>
        </w:p>
        <w:p w:rsidR="00A8570F" w:rsidRDefault="007207F2" w:rsidP="007207F2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 xml:space="preserve">Департамент </w:t>
          </w:r>
        </w:p>
        <w:p w:rsidR="00A8570F" w:rsidRDefault="007207F2" w:rsidP="007207F2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 xml:space="preserve">промышленной политики </w:t>
          </w:r>
        </w:p>
        <w:p w:rsidR="007207F2" w:rsidRPr="00A8570F" w:rsidRDefault="007207F2" w:rsidP="007207F2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>Краснодарского края</w:t>
          </w:r>
        </w:p>
      </w:tc>
      <w:tc>
        <w:tcPr>
          <w:tcW w:w="2835" w:type="dxa"/>
        </w:tcPr>
        <w:p w:rsidR="00A8570F" w:rsidRPr="00A8570F" w:rsidRDefault="00A8570F" w:rsidP="007207F2">
          <w:pPr>
            <w:jc w:val="center"/>
            <w:rPr>
              <w:sz w:val="16"/>
            </w:rPr>
          </w:pPr>
        </w:p>
        <w:p w:rsidR="007207F2" w:rsidRPr="00A8570F" w:rsidRDefault="007207F2" w:rsidP="007207F2">
          <w:pPr>
            <w:jc w:val="center"/>
            <w:rPr>
              <w:sz w:val="18"/>
              <w:szCs w:val="18"/>
            </w:rPr>
          </w:pPr>
          <w:r w:rsidRPr="00A8570F">
            <w:rPr>
              <w:sz w:val="18"/>
              <w:szCs w:val="18"/>
            </w:rPr>
            <w:t>Департамент по регулированию контрактной системы Краснодарского края</w:t>
          </w:r>
        </w:p>
      </w:tc>
    </w:tr>
  </w:tbl>
  <w:p w:rsidR="000C1FB4" w:rsidRPr="00A8570F" w:rsidRDefault="000C1FB4" w:rsidP="007541FD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90D"/>
    <w:multiLevelType w:val="multilevel"/>
    <w:tmpl w:val="268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C291D"/>
    <w:multiLevelType w:val="hybridMultilevel"/>
    <w:tmpl w:val="D7B6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ru v:ext="edit" colors="#fecee6,#fee2f0,#f8aac2,#fbcddb,#b5caf9,#edd1b9,#f4e2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26"/>
    <w:rsid w:val="0001052D"/>
    <w:rsid w:val="000134E5"/>
    <w:rsid w:val="00015951"/>
    <w:rsid w:val="000313AD"/>
    <w:rsid w:val="00032AD2"/>
    <w:rsid w:val="000570BC"/>
    <w:rsid w:val="000C1FB4"/>
    <w:rsid w:val="00100ADB"/>
    <w:rsid w:val="00115423"/>
    <w:rsid w:val="00126B38"/>
    <w:rsid w:val="00133345"/>
    <w:rsid w:val="00141162"/>
    <w:rsid w:val="00145067"/>
    <w:rsid w:val="00156F19"/>
    <w:rsid w:val="00173DDC"/>
    <w:rsid w:val="00174C2B"/>
    <w:rsid w:val="001B29DF"/>
    <w:rsid w:val="001C6025"/>
    <w:rsid w:val="001E6095"/>
    <w:rsid w:val="00211610"/>
    <w:rsid w:val="002659F3"/>
    <w:rsid w:val="002A1066"/>
    <w:rsid w:val="002A4BF8"/>
    <w:rsid w:val="002A5E2F"/>
    <w:rsid w:val="002C67CF"/>
    <w:rsid w:val="00335F4B"/>
    <w:rsid w:val="00354C98"/>
    <w:rsid w:val="003631F8"/>
    <w:rsid w:val="00364800"/>
    <w:rsid w:val="003A09E5"/>
    <w:rsid w:val="003C30B6"/>
    <w:rsid w:val="003D1CF0"/>
    <w:rsid w:val="003D5D42"/>
    <w:rsid w:val="003F4F8D"/>
    <w:rsid w:val="00415B8F"/>
    <w:rsid w:val="00436C86"/>
    <w:rsid w:val="00437A7B"/>
    <w:rsid w:val="00442C4F"/>
    <w:rsid w:val="004463A3"/>
    <w:rsid w:val="00453430"/>
    <w:rsid w:val="0045460A"/>
    <w:rsid w:val="004740CC"/>
    <w:rsid w:val="00497226"/>
    <w:rsid w:val="004A1FB5"/>
    <w:rsid w:val="004A6127"/>
    <w:rsid w:val="004C6E3F"/>
    <w:rsid w:val="004E5892"/>
    <w:rsid w:val="004F49BB"/>
    <w:rsid w:val="00511253"/>
    <w:rsid w:val="00524EB9"/>
    <w:rsid w:val="00533FDD"/>
    <w:rsid w:val="0053414B"/>
    <w:rsid w:val="00550126"/>
    <w:rsid w:val="00555F9D"/>
    <w:rsid w:val="00561D24"/>
    <w:rsid w:val="005A4E99"/>
    <w:rsid w:val="005C479C"/>
    <w:rsid w:val="005E6300"/>
    <w:rsid w:val="005F72CA"/>
    <w:rsid w:val="00604E9C"/>
    <w:rsid w:val="006102BA"/>
    <w:rsid w:val="00616544"/>
    <w:rsid w:val="0062694B"/>
    <w:rsid w:val="0066456D"/>
    <w:rsid w:val="00673E0C"/>
    <w:rsid w:val="006D3EA5"/>
    <w:rsid w:val="006D64EE"/>
    <w:rsid w:val="006F5181"/>
    <w:rsid w:val="007207F2"/>
    <w:rsid w:val="00742C3D"/>
    <w:rsid w:val="007541FD"/>
    <w:rsid w:val="007635CE"/>
    <w:rsid w:val="00774B69"/>
    <w:rsid w:val="007B2C83"/>
    <w:rsid w:val="007B5E54"/>
    <w:rsid w:val="007E2EAC"/>
    <w:rsid w:val="007F5B02"/>
    <w:rsid w:val="00806BD9"/>
    <w:rsid w:val="00823569"/>
    <w:rsid w:val="00890D06"/>
    <w:rsid w:val="008B4C98"/>
    <w:rsid w:val="008C1627"/>
    <w:rsid w:val="008F3253"/>
    <w:rsid w:val="00920916"/>
    <w:rsid w:val="00936D9C"/>
    <w:rsid w:val="00940175"/>
    <w:rsid w:val="00945925"/>
    <w:rsid w:val="0097399C"/>
    <w:rsid w:val="0098323B"/>
    <w:rsid w:val="009A5CF9"/>
    <w:rsid w:val="009C3C67"/>
    <w:rsid w:val="009D0755"/>
    <w:rsid w:val="009E47B3"/>
    <w:rsid w:val="00A13C67"/>
    <w:rsid w:val="00A241A2"/>
    <w:rsid w:val="00A63E05"/>
    <w:rsid w:val="00A64092"/>
    <w:rsid w:val="00A73450"/>
    <w:rsid w:val="00A75738"/>
    <w:rsid w:val="00A8570F"/>
    <w:rsid w:val="00AA3478"/>
    <w:rsid w:val="00AB0860"/>
    <w:rsid w:val="00AC2E59"/>
    <w:rsid w:val="00AF24FB"/>
    <w:rsid w:val="00B025E9"/>
    <w:rsid w:val="00B042C2"/>
    <w:rsid w:val="00B61DEA"/>
    <w:rsid w:val="00B62CAD"/>
    <w:rsid w:val="00B83C47"/>
    <w:rsid w:val="00B86C86"/>
    <w:rsid w:val="00B969BC"/>
    <w:rsid w:val="00BC2FAF"/>
    <w:rsid w:val="00BD70A0"/>
    <w:rsid w:val="00C26214"/>
    <w:rsid w:val="00C33D85"/>
    <w:rsid w:val="00C45F13"/>
    <w:rsid w:val="00C51D6B"/>
    <w:rsid w:val="00C54A4E"/>
    <w:rsid w:val="00C6127C"/>
    <w:rsid w:val="00CB6BA2"/>
    <w:rsid w:val="00CC11F0"/>
    <w:rsid w:val="00CE1F9F"/>
    <w:rsid w:val="00D042A3"/>
    <w:rsid w:val="00D52EF7"/>
    <w:rsid w:val="00D61CB4"/>
    <w:rsid w:val="00D6207E"/>
    <w:rsid w:val="00D72E5E"/>
    <w:rsid w:val="00DB5141"/>
    <w:rsid w:val="00DC3D82"/>
    <w:rsid w:val="00DE66E2"/>
    <w:rsid w:val="00DF03DF"/>
    <w:rsid w:val="00E40159"/>
    <w:rsid w:val="00EB6DFD"/>
    <w:rsid w:val="00EC308A"/>
    <w:rsid w:val="00F0242D"/>
    <w:rsid w:val="00F13C15"/>
    <w:rsid w:val="00F2034A"/>
    <w:rsid w:val="00F36994"/>
    <w:rsid w:val="00F41375"/>
    <w:rsid w:val="00F94F91"/>
    <w:rsid w:val="00FD41FD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ecee6,#fee2f0,#f8aac2,#fbcddb,#b5caf9,#edd1b9,#f4e2d4"/>
    </o:shapedefaults>
    <o:shapelayout v:ext="edit">
      <o:idmap v:ext="edit" data="1"/>
    </o:shapelayout>
  </w:shapeDefaults>
  <w:decimalSymbol w:val=","/>
  <w:listSeparator w:val=";"/>
  <w14:defaultImageDpi w14:val="0"/>
  <w15:docId w15:val="{B969E55D-D16C-4322-A8AB-550A9251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16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0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45925"/>
  </w:style>
  <w:style w:type="paragraph" w:styleId="a8">
    <w:name w:val="footer"/>
    <w:basedOn w:val="a"/>
    <w:link w:val="a9"/>
    <w:uiPriority w:val="99"/>
    <w:unhideWhenUsed/>
    <w:rsid w:val="0094592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45925"/>
  </w:style>
  <w:style w:type="paragraph" w:customStyle="1" w:styleId="14">
    <w:name w:val="!Стиль 14 пт"/>
    <w:basedOn w:val="a"/>
    <w:link w:val="140"/>
    <w:rsid w:val="00FD478B"/>
    <w:pPr>
      <w:spacing w:after="0" w:line="360" w:lineRule="auto"/>
      <w:ind w:left="150"/>
      <w:jc w:val="center"/>
    </w:pPr>
    <w:rPr>
      <w:rFonts w:eastAsia="Times New Roman"/>
      <w:szCs w:val="20"/>
    </w:rPr>
  </w:style>
  <w:style w:type="character" w:customStyle="1" w:styleId="140">
    <w:name w:val="!Стиль 14 пт Знак"/>
    <w:link w:val="14"/>
    <w:rsid w:val="00FD478B"/>
    <w:rPr>
      <w:rFonts w:ascii="Times New Roman" w:eastAsia="Times New Roman" w:hAnsi="Times New Roman"/>
      <w:sz w:val="28"/>
      <w:szCs w:val="20"/>
    </w:rPr>
  </w:style>
  <w:style w:type="paragraph" w:customStyle="1" w:styleId="aa">
    <w:name w:val="! весь текст"/>
    <w:basedOn w:val="a"/>
    <w:link w:val="ab"/>
    <w:rsid w:val="00FD478B"/>
    <w:pPr>
      <w:spacing w:after="0" w:line="360" w:lineRule="auto"/>
      <w:ind w:firstLine="680"/>
      <w:jc w:val="both"/>
    </w:pPr>
    <w:rPr>
      <w:rFonts w:eastAsia="Times New Roman"/>
      <w:szCs w:val="24"/>
    </w:rPr>
  </w:style>
  <w:style w:type="character" w:customStyle="1" w:styleId="ab">
    <w:name w:val="! весь текст Знак"/>
    <w:link w:val="aa"/>
    <w:rsid w:val="00FD478B"/>
    <w:rPr>
      <w:rFonts w:ascii="Times New Roman" w:eastAsia="Times New Roman" w:hAnsi="Times New Roman"/>
      <w:sz w:val="28"/>
      <w:szCs w:val="24"/>
    </w:rPr>
  </w:style>
  <w:style w:type="paragraph" w:customStyle="1" w:styleId="ac">
    <w:name w:val="!текст"/>
    <w:basedOn w:val="3"/>
    <w:rsid w:val="00511253"/>
    <w:pPr>
      <w:spacing w:after="0" w:line="360" w:lineRule="auto"/>
      <w:ind w:left="0" w:firstLine="567"/>
      <w:jc w:val="both"/>
    </w:pPr>
    <w:rPr>
      <w:rFonts w:eastAsia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11253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253"/>
    <w:rPr>
      <w:sz w:val="16"/>
      <w:szCs w:val="16"/>
    </w:rPr>
  </w:style>
  <w:style w:type="character" w:customStyle="1" w:styleId="submenu-table">
    <w:name w:val="submenu-table"/>
    <w:basedOn w:val="a0"/>
    <w:rsid w:val="00436C86"/>
  </w:style>
  <w:style w:type="character" w:styleId="ad">
    <w:name w:val="Hyperlink"/>
    <w:basedOn w:val="a0"/>
    <w:uiPriority w:val="99"/>
    <w:unhideWhenUsed/>
    <w:rsid w:val="00174C2B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EC308A"/>
    <w:pPr>
      <w:spacing w:after="0"/>
      <w:ind w:left="720"/>
      <w:contextualSpacing/>
    </w:pPr>
    <w:rPr>
      <w:rFonts w:cstheme="minorBidi"/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5E6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E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A054-778B-40BB-BEFD-1510450E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ECO-Specialist</cp:lastModifiedBy>
  <cp:revision>2</cp:revision>
  <cp:lastPrinted>2016-09-02T08:30:00Z</cp:lastPrinted>
  <dcterms:created xsi:type="dcterms:W3CDTF">2016-10-17T06:53:00Z</dcterms:created>
  <dcterms:modified xsi:type="dcterms:W3CDTF">2016-10-17T06:53:00Z</dcterms:modified>
</cp:coreProperties>
</file>