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29" w:rsidRPr="00FA2D03" w:rsidRDefault="00CF2529" w:rsidP="00CF2529">
      <w:pPr>
        <w:jc w:val="center"/>
        <w:rPr>
          <w:rFonts w:asciiTheme="majorHAnsi" w:hAnsiTheme="majorHAnsi"/>
          <w:b/>
          <w:i/>
          <w:sz w:val="72"/>
          <w:szCs w:val="72"/>
        </w:rPr>
      </w:pPr>
      <w:r>
        <w:rPr>
          <w:rFonts w:asciiTheme="majorHAnsi" w:hAnsiTheme="majorHAnsi"/>
          <w:b/>
          <w:i/>
          <w:sz w:val="72"/>
          <w:szCs w:val="72"/>
        </w:rPr>
        <w:t>8</w:t>
      </w:r>
      <w:r w:rsidRPr="00FA2D03">
        <w:rPr>
          <w:rFonts w:asciiTheme="majorHAnsi" w:hAnsiTheme="majorHAnsi"/>
          <w:b/>
          <w:i/>
          <w:sz w:val="72"/>
          <w:szCs w:val="72"/>
        </w:rPr>
        <w:t xml:space="preserve"> класс.</w:t>
      </w:r>
    </w:p>
    <w:tbl>
      <w:tblPr>
        <w:tblStyle w:val="a3"/>
        <w:tblW w:w="15168" w:type="dxa"/>
        <w:tblInd w:w="108" w:type="dxa"/>
        <w:tblLook w:val="04A0"/>
      </w:tblPr>
      <w:tblGrid>
        <w:gridCol w:w="3402"/>
        <w:gridCol w:w="7513"/>
        <w:gridCol w:w="4253"/>
      </w:tblGrid>
      <w:tr w:rsidR="00CF2529" w:rsidRPr="00FA2D03" w:rsidTr="005449EA">
        <w:tc>
          <w:tcPr>
            <w:tcW w:w="3402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Срок проведения</w:t>
            </w:r>
          </w:p>
        </w:tc>
        <w:tc>
          <w:tcPr>
            <w:tcW w:w="7513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Название и форма мероприятия</w:t>
            </w:r>
          </w:p>
        </w:tc>
        <w:tc>
          <w:tcPr>
            <w:tcW w:w="4253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Ответственный.</w:t>
            </w:r>
          </w:p>
        </w:tc>
      </w:tr>
      <w:tr w:rsidR="00CF2529" w:rsidRPr="00FA2D03" w:rsidTr="005449EA">
        <w:tc>
          <w:tcPr>
            <w:tcW w:w="3402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07.06-09.06</w:t>
            </w:r>
          </w:p>
        </w:tc>
        <w:tc>
          <w:tcPr>
            <w:tcW w:w="7513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Ремонтная бригада</w:t>
            </w:r>
          </w:p>
        </w:tc>
        <w:tc>
          <w:tcPr>
            <w:tcW w:w="4253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Толмачева Т.Н.</w:t>
            </w:r>
          </w:p>
        </w:tc>
      </w:tr>
      <w:tr w:rsidR="00CF2529" w:rsidRPr="00FA2D03" w:rsidTr="005449EA">
        <w:tc>
          <w:tcPr>
            <w:tcW w:w="3402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01.06-03.06</w:t>
            </w:r>
          </w:p>
        </w:tc>
        <w:tc>
          <w:tcPr>
            <w:tcW w:w="7513" w:type="dxa"/>
          </w:tcPr>
          <w:p w:rsidR="00CF2529" w:rsidRPr="00FA2D03" w:rsidRDefault="00CF2529" w:rsidP="00E34928">
            <w:pPr>
              <w:pStyle w:val="Default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Экспедиция краткосрочная </w:t>
            </w:r>
          </w:p>
        </w:tc>
        <w:tc>
          <w:tcPr>
            <w:tcW w:w="4253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Толмачева Т.Н.</w:t>
            </w:r>
          </w:p>
        </w:tc>
      </w:tr>
      <w:tr w:rsidR="00CF2529" w:rsidRPr="00FA2D03" w:rsidTr="005449EA">
        <w:tc>
          <w:tcPr>
            <w:tcW w:w="3402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02.06.</w:t>
            </w:r>
          </w:p>
        </w:tc>
        <w:tc>
          <w:tcPr>
            <w:tcW w:w="7513" w:type="dxa"/>
          </w:tcPr>
          <w:p w:rsidR="00CF2529" w:rsidRPr="00FA2D03" w:rsidRDefault="00CF2529" w:rsidP="00E34928">
            <w:pPr>
              <w:pStyle w:val="Default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Поход краткосрочный </w:t>
            </w:r>
          </w:p>
        </w:tc>
        <w:tc>
          <w:tcPr>
            <w:tcW w:w="4253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Толмачева Т.Н.</w:t>
            </w:r>
          </w:p>
        </w:tc>
      </w:tr>
      <w:tr w:rsidR="00CF2529" w:rsidRPr="00FA2D03" w:rsidTr="005449EA">
        <w:tc>
          <w:tcPr>
            <w:tcW w:w="3402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25.08.</w:t>
            </w:r>
          </w:p>
        </w:tc>
        <w:tc>
          <w:tcPr>
            <w:tcW w:w="7513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Однодневная  экскурсия</w:t>
            </w: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в ст. </w:t>
            </w:r>
            <w:proofErr w:type="gram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Павловскую</w:t>
            </w:r>
            <w:proofErr w:type="gram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: памятные места, музей, аквапарк.</w:t>
            </w:r>
          </w:p>
        </w:tc>
        <w:tc>
          <w:tcPr>
            <w:tcW w:w="4253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Толмачева Т.Н.</w:t>
            </w:r>
          </w:p>
        </w:tc>
      </w:tr>
      <w:tr w:rsidR="00CF2529" w:rsidRPr="00FA2D03" w:rsidTr="005449EA">
        <w:tc>
          <w:tcPr>
            <w:tcW w:w="3402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По графику.</w:t>
            </w:r>
          </w:p>
        </w:tc>
        <w:tc>
          <w:tcPr>
            <w:tcW w:w="7513" w:type="dxa"/>
          </w:tcPr>
          <w:p w:rsidR="00CF2529" w:rsidRPr="00CF2529" w:rsidRDefault="00CF2529" w:rsidP="00E34928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CF2529">
              <w:rPr>
                <w:rFonts w:asciiTheme="majorHAnsi" w:hAnsiTheme="majorHAnsi"/>
                <w:b/>
                <w:i/>
                <w:sz w:val="32"/>
                <w:szCs w:val="32"/>
              </w:rPr>
              <w:t>участие в работе районного пресс – центра и выпуске газеты «7 дней лета»</w:t>
            </w:r>
          </w:p>
        </w:tc>
        <w:tc>
          <w:tcPr>
            <w:tcW w:w="4253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Толмачева Т.Н.</w:t>
            </w:r>
          </w:p>
        </w:tc>
      </w:tr>
      <w:tr w:rsidR="00CF2529" w:rsidRPr="00FA2D03" w:rsidTr="005449EA">
        <w:tc>
          <w:tcPr>
            <w:tcW w:w="3402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25.07-29.07</w:t>
            </w:r>
          </w:p>
        </w:tc>
        <w:tc>
          <w:tcPr>
            <w:tcW w:w="7513" w:type="dxa"/>
          </w:tcPr>
          <w:p w:rsidR="00CF2529" w:rsidRPr="00FA2D03" w:rsidRDefault="00CF2529" w:rsidP="00E34928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 w:cs="Times New Roman"/>
                <w:b/>
                <w:i/>
                <w:sz w:val="52"/>
                <w:szCs w:val="52"/>
              </w:rPr>
              <w:t>Дневная  тематическая площадка</w:t>
            </w:r>
          </w:p>
        </w:tc>
        <w:tc>
          <w:tcPr>
            <w:tcW w:w="4253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Толмачева Т.Н.</w:t>
            </w:r>
          </w:p>
        </w:tc>
      </w:tr>
      <w:tr w:rsidR="00CF2529" w:rsidRPr="00FA2D03" w:rsidTr="005449EA">
        <w:tc>
          <w:tcPr>
            <w:tcW w:w="3402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20.06.</w:t>
            </w:r>
          </w:p>
        </w:tc>
        <w:tc>
          <w:tcPr>
            <w:tcW w:w="7513" w:type="dxa"/>
          </w:tcPr>
          <w:p w:rsidR="00CF2529" w:rsidRPr="00FA2D03" w:rsidRDefault="00CF2529" w:rsidP="00E34928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Акция «ПАРКИ КУБАНИ»</w:t>
            </w:r>
          </w:p>
        </w:tc>
        <w:tc>
          <w:tcPr>
            <w:tcW w:w="4253" w:type="dxa"/>
          </w:tcPr>
          <w:p w:rsidR="00CF2529" w:rsidRPr="00FA2D03" w:rsidRDefault="00CF252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Миланко</w:t>
            </w:r>
            <w:proofErr w:type="spellEnd"/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С.Я.</w:t>
            </w:r>
          </w:p>
        </w:tc>
      </w:tr>
    </w:tbl>
    <w:p w:rsidR="00F32A90" w:rsidRDefault="00F32A90"/>
    <w:sectPr w:rsidR="00F32A90" w:rsidSect="005449E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529"/>
    <w:rsid w:val="005449EA"/>
    <w:rsid w:val="00CF2529"/>
    <w:rsid w:val="00F3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5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ШКОЛА</cp:lastModifiedBy>
  <cp:revision>3</cp:revision>
  <cp:lastPrinted>2016-05-23T12:25:00Z</cp:lastPrinted>
  <dcterms:created xsi:type="dcterms:W3CDTF">2016-06-23T11:26:00Z</dcterms:created>
  <dcterms:modified xsi:type="dcterms:W3CDTF">2016-05-23T12:25:00Z</dcterms:modified>
</cp:coreProperties>
</file>