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15" w:rsidRPr="00BB3ADF" w:rsidRDefault="00474283" w:rsidP="002D3F15">
      <w:pPr>
        <w:pStyle w:val="2"/>
        <w:jc w:val="center"/>
        <w:rPr>
          <w:rFonts w:eastAsia="Times New Roman"/>
          <w:color w:val="0F243E" w:themeColor="text2" w:themeShade="8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87D4F4" wp14:editId="120174A0">
            <wp:simplePos x="0" y="0"/>
            <wp:positionH relativeFrom="column">
              <wp:posOffset>-777240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BB3ADF">
        <w:rPr>
          <w:rFonts w:eastAsia="Times New Roman"/>
          <w:color w:val="0F243E" w:themeColor="text2" w:themeShade="80"/>
          <w:sz w:val="32"/>
          <w:szCs w:val="32"/>
          <w:lang w:eastAsia="ru-RU"/>
        </w:rPr>
        <w:t>Муниципальное</w:t>
      </w:r>
      <w:r w:rsidR="002D3F15">
        <w:rPr>
          <w:rFonts w:eastAsia="Times New Roman"/>
          <w:color w:val="0F243E" w:themeColor="text2" w:themeShade="80"/>
          <w:sz w:val="32"/>
          <w:szCs w:val="32"/>
          <w:lang w:eastAsia="ru-RU"/>
        </w:rPr>
        <w:t xml:space="preserve"> </w:t>
      </w:r>
      <w:r w:rsidR="002D3F15" w:rsidRPr="00BB3ADF">
        <w:rPr>
          <w:rFonts w:eastAsia="Times New Roman"/>
          <w:color w:val="0F243E" w:themeColor="text2" w:themeShade="80"/>
          <w:sz w:val="32"/>
          <w:szCs w:val="32"/>
          <w:lang w:eastAsia="ru-RU"/>
        </w:rPr>
        <w:t>бюджетное общеобразовательное учреждение</w:t>
      </w:r>
    </w:p>
    <w:p w:rsidR="002D3F15" w:rsidRPr="00BB3ADF" w:rsidRDefault="002D3F15" w:rsidP="002D3F15">
      <w:pPr>
        <w:pStyle w:val="2"/>
        <w:jc w:val="center"/>
        <w:rPr>
          <w:rFonts w:eastAsia="Times New Roman"/>
          <w:color w:val="0F243E" w:themeColor="text2" w:themeShade="80"/>
          <w:sz w:val="32"/>
          <w:szCs w:val="32"/>
          <w:lang w:eastAsia="ru-RU"/>
        </w:rPr>
      </w:pPr>
      <w:proofErr w:type="spellStart"/>
      <w:r w:rsidRPr="00BB3ADF">
        <w:rPr>
          <w:rFonts w:eastAsia="Times New Roman"/>
          <w:color w:val="0F243E" w:themeColor="text2" w:themeShade="80"/>
          <w:sz w:val="32"/>
          <w:szCs w:val="32"/>
          <w:lang w:eastAsia="ru-RU"/>
        </w:rPr>
        <w:t>Камышевская</w:t>
      </w:r>
      <w:proofErr w:type="spellEnd"/>
      <w:r w:rsidRPr="00BB3ADF">
        <w:rPr>
          <w:rFonts w:eastAsia="Times New Roman"/>
          <w:color w:val="0F243E" w:themeColor="text2" w:themeShade="80"/>
          <w:sz w:val="32"/>
          <w:szCs w:val="32"/>
          <w:lang w:eastAsia="ru-RU"/>
        </w:rPr>
        <w:t xml:space="preserve"> средняя «Казачья» общеобразовательная школа</w:t>
      </w: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Pr="00BB3ADF" w:rsidRDefault="002D3F15" w:rsidP="002D3F15">
      <w:pPr>
        <w:pStyle w:val="2"/>
        <w:jc w:val="center"/>
        <w:rPr>
          <w:rFonts w:eastAsia="Times New Roman"/>
          <w:color w:val="800000"/>
          <w:sz w:val="72"/>
          <w:szCs w:val="72"/>
          <w:lang w:eastAsia="ru-RU"/>
        </w:rPr>
      </w:pPr>
      <w:r w:rsidRPr="00BB3ADF">
        <w:rPr>
          <w:rFonts w:eastAsia="Times New Roman"/>
          <w:color w:val="800000"/>
          <w:sz w:val="72"/>
          <w:szCs w:val="72"/>
          <w:lang w:eastAsia="ru-RU"/>
        </w:rPr>
        <w:t>Программа работы </w:t>
      </w:r>
      <w:proofErr w:type="gramStart"/>
      <w:r w:rsidRPr="00BB3ADF">
        <w:rPr>
          <w:rFonts w:eastAsia="Times New Roman"/>
          <w:color w:val="800000"/>
          <w:sz w:val="72"/>
          <w:szCs w:val="72"/>
          <w:lang w:eastAsia="ru-RU"/>
        </w:rPr>
        <w:t>школьного</w:t>
      </w:r>
      <w:proofErr w:type="gramEnd"/>
    </w:p>
    <w:p w:rsidR="002D3F15" w:rsidRPr="00BB3ADF" w:rsidRDefault="002D3F15" w:rsidP="002D3F15">
      <w:pPr>
        <w:pStyle w:val="2"/>
        <w:jc w:val="center"/>
        <w:rPr>
          <w:rFonts w:eastAsia="Times New Roman"/>
          <w:color w:val="800000"/>
          <w:sz w:val="72"/>
          <w:szCs w:val="72"/>
          <w:lang w:eastAsia="ru-RU"/>
        </w:rPr>
      </w:pPr>
      <w:r w:rsidRPr="00BB3ADF">
        <w:rPr>
          <w:rFonts w:eastAsia="Times New Roman"/>
          <w:color w:val="800000"/>
          <w:sz w:val="72"/>
          <w:szCs w:val="72"/>
          <w:lang w:eastAsia="ru-RU"/>
        </w:rPr>
        <w:t>Музея  Боевой  и Трудовой Славы</w:t>
      </w:r>
    </w:p>
    <w:p w:rsidR="002D3F15" w:rsidRPr="00BB3ADF" w:rsidRDefault="002D3F15" w:rsidP="002D3F15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96"/>
          <w:szCs w:val="96"/>
          <w:lang w:eastAsia="ru-RU"/>
        </w:rPr>
      </w:pPr>
      <w:r w:rsidRPr="00BB3ADF">
        <w:rPr>
          <w:rFonts w:ascii="Times New Roman" w:hAnsi="Times New Roman" w:cs="Times New Roman"/>
          <w:b/>
          <w:i/>
          <w:color w:val="17365D" w:themeColor="text2" w:themeShade="BF"/>
          <w:sz w:val="96"/>
          <w:szCs w:val="96"/>
          <w:lang w:eastAsia="ru-RU"/>
        </w:rPr>
        <w:t>«Память»</w:t>
      </w: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14605</wp:posOffset>
            </wp:positionV>
            <wp:extent cx="50927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92" y="21343"/>
                <wp:lineTo x="21492" y="0"/>
                <wp:lineTo x="0" y="0"/>
              </wp:wrapPolygon>
            </wp:wrapThrough>
            <wp:docPr id="2" name="Рисунок 2" descr="F:\оформление\Георгиевская-ленточк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формление\Георгиевская-ленточка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D3F15" w:rsidRPr="00833057" w:rsidRDefault="002D3F15" w:rsidP="002D3F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0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D3F15" w:rsidRDefault="002D3F15" w:rsidP="002D3F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D3F15" w:rsidRDefault="002D3F15" w:rsidP="002D3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D3F15" w:rsidRDefault="002D3F15" w:rsidP="002D3F1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D3F15" w:rsidRPr="00244592" w:rsidRDefault="00474283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C1FB293" wp14:editId="3712688D">
            <wp:simplePos x="0" y="0"/>
            <wp:positionH relativeFrom="column">
              <wp:posOffset>-786765</wp:posOffset>
            </wp:positionH>
            <wp:positionV relativeFrom="paragraph">
              <wp:posOffset>-367665</wp:posOffset>
            </wp:positionV>
            <wp:extent cx="7019925" cy="9972675"/>
            <wp:effectExtent l="19050" t="19050" r="9525" b="952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244592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Пояснительная записка</w:t>
      </w:r>
    </w:p>
    <w:p w:rsidR="002D3F15" w:rsidRPr="00244592" w:rsidRDefault="002D3F15" w:rsidP="002D3F15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45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любого государства зависит от того, как оно относится к своему прошлому. Хранителем истории нашего государства является школьный музей - центр дополнительного образования и воспитания школьников, который проводит поисково-исследовательскую, организационно-просветительскую, экскурсионную и  краеведческую работу.</w:t>
      </w:r>
    </w:p>
    <w:p w:rsidR="002D3F15" w:rsidRDefault="002D3F15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общеобразовательное учреждение - это важнейший общественный институт воспитания подрастающего поколения. Вопросы гражданско-патриотического воспитания молодежи и роль школы в данном процессе находятся в центре внимания общественности и государства. Это связано с приоритетным значением патриотического воспитания для развития страны, духовного возрождения нации. Современное российское общество все больше приходит к пониманию того, что научить подрастающее поколение уважать людей, живущих рядом, их традиции, историю, любить родной край, город, народ, который в нем живет - значит, укрепить основы государственности. И нам, педагогам, исключительно важно, каким будет человек будущего, в какой мере он освоит две важные социальные роли - гражданина и патриота. Система гражданско - патриотического воспитания в школе предусматривает формирование и развитие социально значимых ценностей, гражданственности и патриотизма в процессе воспитания и обучения, массовую патриотическую работу, организуемую и осуществляемую государственными структурами и общественными организациями. Создание системы гражданско-патриотического воспитания предполагает совместную деятельность школы с учреждениями дополнительного образования, военно-патриотическими клубами, школьными музеями, Советом ветеранов и другими организациями города по решению широкого комплекса проблем патриотического воспитания.</w:t>
      </w:r>
    </w:p>
    <w:p w:rsidR="002D3F15" w:rsidRDefault="002D3F15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474283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A966C8D" wp14:editId="27CF44DA">
            <wp:simplePos x="0" y="0"/>
            <wp:positionH relativeFrom="column">
              <wp:posOffset>-786765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F15" w:rsidRDefault="002D3F15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 основу разработки 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граммы</w:t>
      </w:r>
      <w:r w:rsidRPr="00BB3A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положены следующие нормативно-правовые документы:</w:t>
      </w:r>
    </w:p>
    <w:p w:rsidR="002D3F15" w:rsidRPr="00BB3ADF" w:rsidRDefault="002D3F15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 Российской Федерации «Об образовании» от 22.08.2004 № 122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«Концепция модернизации российского образования на период до 2010 г.» (Распоряжение Правительства РФ от 29.12.2001, № 1756-р, Приказ Министерства образования РФ от 11.02.2002 № 393).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Программа «Патриотическое воспитание граждан Российской Федерации на 2006-2010 годы» (Постановление Правительства Российской Федерации от 11 июля 2005 г. № 422).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Закон «О музейном фонде РФ и музеях РФ».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актуальности и востребованности 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граммы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D3F15" w:rsidRPr="00BB3ADF" w:rsidRDefault="002D3F15" w:rsidP="002D3F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И ныне, на наш взгляд, как никогда особенно важным фактором патриотического воспитания становится история героического прошлого народов России. </w:t>
      </w:r>
      <w:proofErr w:type="gramStart"/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данного проекта вызвана тем, что в последние годы падает уровень духовной культуры общества и подрастающего поколения, отсутствуют иерархии ценностей нравственно-ориентированные, проявляется непонимание значимости культурно-исторических памятников, низкая культура чувств, незначительный интерес к истории, непонимание её закономерностей, преобладание абстрактных, схематических представлений о прошлом, идет процесс углубления противоречия между старшим и молодым поколениями.</w:t>
      </w:r>
      <w:proofErr w:type="gramEnd"/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Проект призван </w:t>
      </w: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ценностно-смысловую определенность системы нравственного воспитания. Воспитание патриотизма – это воспитание любви к Отечеству, преданности ему, гордости за его прошлое и настоящее. Но это невозможно без создания системы по формированию интереса к истории своей страны и не просто интереса, а познавательной деятельности. Центром реализации такой системы становится школьный музей, который является незаменимым помощником школ в патриотическом воспитании подрастающих граждан страны, так как решает задачи формирования патриотического сознания. Для успешного воспитания в нашем обществе ПАТРИОТА и ГРАЖДАНИНА своего Отечества необходима организация направленной деятельности по сохранению и приобретению современной молодежью знаний и представлений о прошлом нашей Родины, об исторических путях развития российского общества, сведения о своей Малой Родине, о своем крае. А эти задачи призван решать в первую очередь школьный музей. Музей создает особые условия для воздействия на интеллектуально-волевые и эмоциональные процессы личности ребенка, а каждая экспозиция представляет собой программу передачи через экспонаты знаний, навыков, суждений оценок и чувств. Школьный музей является хранителем бесценного фонда историко-культурного наследия.</w:t>
      </w:r>
    </w:p>
    <w:p w:rsidR="002D3F15" w:rsidRPr="00BB3ADF" w:rsidRDefault="00474283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E0690BB" wp14:editId="1CEB27D5">
            <wp:simplePos x="0" y="0"/>
            <wp:positionH relativeFrom="column">
              <wp:posOffset>-758190</wp:posOffset>
            </wp:positionH>
            <wp:positionV relativeFrom="paragraph">
              <wp:posOffset>-6137275</wp:posOffset>
            </wp:positionV>
            <wp:extent cx="7019925" cy="9972675"/>
            <wp:effectExtent l="19050" t="19050" r="9525" b="952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  <w:proofErr w:type="gramStart"/>
      <w:r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актуальной сегодня становится проблема памяти поколений и сохранения традиций. Для решения данной проблемы поставлена следующая цель: Воспитать патриота неравнодушного к прошлому и настоящему своей Родины через деятельность школьного музея, содействовать повышению эффективности учебно-воспитательной работы.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этой цели необходимо решать следующие задачи: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474283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C87D4F4" wp14:editId="120174A0">
            <wp:simplePos x="0" y="0"/>
            <wp:positionH relativeFrom="column">
              <wp:posOffset>-758190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представления об историческом времени и пространстве, об изменчивости и преемственности системы социально-нравственных ценностей;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уважительного отношения к памятникам прошлого, потребности общаться с музейными ценностями;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музейной культуры, обучение музейному языку, музейной терминологии;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научных и профессиональных интересов;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Привлечение к сотрудничеству сторонних организаций, ставящих перед собой сходные цели;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Увеличение музейной аудитории за счет реализации проекта.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материалов по истории жизни адмирала Северного флота, нашего земляка А.Г.Головко;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фондов подлинных памятников истории Великой Отечественной Войны;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Научно-исследовательская деятельность;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Связь музея с государственными учреждениями, общественными организациями города: Советом ветеранов, Военным комиссариатом и др.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учета и условий сохранности фондов школьного музея.</w:t>
      </w:r>
    </w:p>
    <w:p w:rsidR="002D3F15" w:rsidRPr="002C0917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3F15" w:rsidRPr="00BB3ADF" w:rsidRDefault="00474283" w:rsidP="002D3F15">
      <w:pPr>
        <w:pStyle w:val="2"/>
        <w:rPr>
          <w:rFonts w:eastAsia="Times New Roman"/>
          <w:color w:val="00206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C87D4F4" wp14:editId="120174A0">
            <wp:simplePos x="0" y="0"/>
            <wp:positionH relativeFrom="column">
              <wp:posOffset>-777240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BB3ADF">
        <w:rPr>
          <w:rFonts w:eastAsia="Times New Roman"/>
          <w:color w:val="002060"/>
          <w:sz w:val="32"/>
          <w:szCs w:val="32"/>
          <w:lang w:eastAsia="ru-RU"/>
        </w:rPr>
        <w:t>Основные методы работы, технологии реализации про</w:t>
      </w:r>
      <w:r w:rsidR="002D3F15">
        <w:rPr>
          <w:rFonts w:eastAsia="Times New Roman"/>
          <w:color w:val="002060"/>
          <w:sz w:val="32"/>
          <w:szCs w:val="32"/>
          <w:lang w:eastAsia="ru-RU"/>
        </w:rPr>
        <w:t>граммы</w:t>
      </w:r>
      <w:proofErr w:type="gramStart"/>
      <w:r w:rsidR="002D3F15" w:rsidRPr="00BB3ADF">
        <w:rPr>
          <w:rFonts w:eastAsia="Times New Roman"/>
          <w:color w:val="002060"/>
          <w:sz w:val="32"/>
          <w:szCs w:val="32"/>
          <w:lang w:eastAsia="ru-RU"/>
        </w:rPr>
        <w:t> :</w:t>
      </w:r>
      <w:proofErr w:type="gramEnd"/>
    </w:p>
    <w:p w:rsidR="002D3F15" w:rsidRPr="00BB3ADF" w:rsidRDefault="002D3F15" w:rsidP="002D3F15">
      <w:pPr>
        <w:pStyle w:val="2"/>
        <w:rPr>
          <w:rFonts w:eastAsia="Times New Roman"/>
          <w:color w:val="0F243E" w:themeColor="text2" w:themeShade="80"/>
          <w:sz w:val="32"/>
          <w:szCs w:val="32"/>
          <w:lang w:eastAsia="ru-RU"/>
        </w:rPr>
      </w:pP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методы работы по гражданско-патриотическому воспитанию: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Поисковая деятельность;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ветеранами Великой Отечественной Войны и локальных войн;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по музейным выставкам;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Музейные уроки;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Уроки Мужества;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Экскурсионная деятельность;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экскурсоводов;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Уроки истории;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Шефство над ветеранами войны и труда;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Диспуты, круглые столы;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тематических выставок.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Default="00474283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120AA17F" wp14:editId="3CE2359E">
            <wp:simplePos x="0" y="0"/>
            <wp:positionH relativeFrom="column">
              <wp:posOffset>-796290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F15" w:rsidRPr="00BB3ADF" w:rsidRDefault="002D3F15" w:rsidP="002D3F15">
      <w:pPr>
        <w:pStyle w:val="3"/>
        <w:jc w:val="center"/>
        <w:rPr>
          <w:rFonts w:eastAsia="Times New Roman"/>
          <w:color w:val="002060"/>
          <w:sz w:val="36"/>
          <w:szCs w:val="36"/>
          <w:lang w:eastAsia="ru-RU"/>
        </w:rPr>
      </w:pPr>
      <w:r w:rsidRPr="00BB3ADF">
        <w:rPr>
          <w:rFonts w:eastAsia="Times New Roman"/>
          <w:color w:val="002060"/>
          <w:sz w:val="36"/>
          <w:szCs w:val="36"/>
          <w:lang w:eastAsia="ru-RU"/>
        </w:rPr>
        <w:t>Сроки реализации: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Кадровое обеспечение: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данного проекта необходимо участие заинтересованных лиц: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Директор школы –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А.Б.Кострюкова</w:t>
      </w:r>
      <w:proofErr w:type="spellEnd"/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Руководитель музея –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В.П.Цикал</w:t>
      </w:r>
      <w:proofErr w:type="spellEnd"/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Заместитель директора по ВР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Т.Г.Кольцова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Библиотекарь школы –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Н.С.Ставицкая</w:t>
      </w:r>
      <w:proofErr w:type="spellEnd"/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D3F15" w:rsidRPr="00BB3ADF" w:rsidRDefault="002D3F15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Ожидаемые результаты</w:t>
      </w:r>
      <w:proofErr w:type="gramStart"/>
      <w:r w:rsidRPr="00BB3AD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 :</w:t>
      </w:r>
      <w:proofErr w:type="gramEnd"/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проекта ожидается, что: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увеличится количество учащихся, желающих участвовать в поисковой деятельности;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появится интерес к истории своего отечества и родного края;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учащихся школы появится уважительное отношение к ветеранам, к старшему поколению;</w:t>
      </w:r>
    </w:p>
    <w:p w:rsidR="002D3F15" w:rsidRPr="00BB3ADF" w:rsidRDefault="00474283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5545C89D" wp14:editId="712E22F2">
            <wp:simplePos x="0" y="0"/>
            <wp:positionH relativeFrom="column">
              <wp:posOffset>-786765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укрепится нравственный потенциал и потребность приумножать лучшие достижения прошлого в своей жизни;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обучающиеся получат знания по основам экскурсоводческой деятельности, навыки общения с аудиторией, навыки работы с архивными документами и другими историческими и литературными источниками;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учащиеся получат основы научно-исследовательской работы исторической направленности;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увеличится количество детей, желающих продолжить обучение в военных ВУЗах.</w:t>
      </w:r>
    </w:p>
    <w:p w:rsidR="002D3F15" w:rsidRPr="00BB3ADF" w:rsidRDefault="002D3F15" w:rsidP="002D3F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BB3ADF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Перспективность: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дальнейшей работе школьного музея планируется: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Расширять экспозиции;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Проводить выездные экспозиционные выставки в школы города и района;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Приглашать представителей поисковых отрядов других школ города по обмену опытом;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Наладить сотрудничество с государственными музеями, архивами и профильными </w:t>
      </w:r>
      <w:proofErr w:type="gramStart"/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</w:t>
      </w:r>
      <w:proofErr w:type="gramEnd"/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организациями;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BB3ADF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Продолжать поисковую деятельность;</w:t>
      </w:r>
    </w:p>
    <w:p w:rsidR="002D3F15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Выпустить методическое пособие по разработке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кскурсий по музеям боевой славы.</w:t>
      </w:r>
    </w:p>
    <w:p w:rsidR="002D3F15" w:rsidRPr="006A44E8" w:rsidRDefault="00474283" w:rsidP="002D3F15">
      <w:pPr>
        <w:pStyle w:val="a3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8"/>
          <w:szCs w:val="4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4C87D4F4" wp14:editId="120174A0">
            <wp:simplePos x="0" y="0"/>
            <wp:positionH relativeFrom="column">
              <wp:posOffset>-805815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6A44E8">
        <w:rPr>
          <w:rFonts w:eastAsia="Times New Roman"/>
          <w:b/>
          <w:color w:val="17365D" w:themeColor="text2" w:themeShade="BF"/>
          <w:sz w:val="48"/>
          <w:szCs w:val="48"/>
          <w:lang w:eastAsia="ru-RU"/>
        </w:rPr>
        <w:t>Актив  музея «</w:t>
      </w:r>
      <w:r w:rsidR="002D3F15">
        <w:rPr>
          <w:rFonts w:eastAsia="Times New Roman"/>
          <w:b/>
          <w:color w:val="17365D" w:themeColor="text2" w:themeShade="BF"/>
          <w:sz w:val="48"/>
          <w:szCs w:val="48"/>
          <w:lang w:eastAsia="ru-RU"/>
        </w:rPr>
        <w:t>Память</w:t>
      </w:r>
      <w:r w:rsidR="002D3F15" w:rsidRPr="006A44E8">
        <w:rPr>
          <w:rFonts w:eastAsia="Times New Roman"/>
          <w:b/>
          <w:color w:val="17365D" w:themeColor="text2" w:themeShade="BF"/>
          <w:sz w:val="48"/>
          <w:szCs w:val="48"/>
          <w:lang w:eastAsia="ru-RU"/>
        </w:rPr>
        <w:t>»</w:t>
      </w:r>
      <w:r w:rsidR="002D3F15" w:rsidRPr="008330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Возглавляет ученическую музейную деятельность актив музея.  Для реализации основных направлений деятельности музея созданы и функционируют следующие профильные группы: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Поисково – собирательская;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Фондовая;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Экспозиционно – выставочная;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Экскурсионно – просветительская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Научная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6A44E8" w:rsidRDefault="002D3F15" w:rsidP="002D3F15">
      <w:pPr>
        <w:pStyle w:val="a5"/>
        <w:rPr>
          <w:color w:val="17365D" w:themeColor="text2" w:themeShade="BF"/>
          <w:sz w:val="40"/>
          <w:szCs w:val="40"/>
          <w:lang w:eastAsia="ru-RU"/>
        </w:rPr>
      </w:pPr>
      <w:r w:rsidRPr="006A44E8">
        <w:rPr>
          <w:color w:val="17365D" w:themeColor="text2" w:themeShade="BF"/>
          <w:sz w:val="40"/>
          <w:szCs w:val="40"/>
          <w:lang w:eastAsia="ru-RU"/>
        </w:rPr>
        <w:t>Функции профильных групп: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6A44E8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Поисково – собирательская  группа: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Разработка краеведческих заданий и координация работы по их выполнению;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Организация тематического и систематического комплектования фондов музея;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Организация комплектования «по горячим следам событий»;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Оказание помощи фондовой группе  в поиске недостающих в коллекции музея экспонатов;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Организация краеведческих экспедиций;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Осуществление комплектования музейного собрания.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Pr="006A44E8" w:rsidRDefault="00474283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4C87D4F4" wp14:editId="120174A0">
            <wp:simplePos x="0" y="0"/>
            <wp:positionH relativeFrom="column">
              <wp:posOffset>-805815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6A44E8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Фондовая группа: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Проведение экспертизы (оценки)  поступивших в музей краеведческих материалов для вынесения решения об их дальнейшем использовании;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Приглашение специалистов для участия в экспертизе;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Ведение всей музейной документации, имеющей отношение к фондам музея (протоколы заседаний, полевые документы, легенды, фотоснимки, инвентарная книга, карточки музейных предметов, коллекционные и топографические описи);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Организация использования музейных экспозиций в учебно – воспитательном процессе;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Обеспечение учета и хранение музейных фондов;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Ведение работы в архивах, музеях, библиотеках.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6A44E8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Экспозиционно – выставочная группа: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Организация работы с экспозициями музея 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Систематизация фондовых материалов;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Создание музейных экспозиций;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Изготовление стендов, витрин, макетов;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Организация  тематических выставок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Ремонтные и технические работы</w:t>
      </w:r>
    </w:p>
    <w:p w:rsidR="002D3F15" w:rsidRPr="006A44E8" w:rsidRDefault="002D3F15" w:rsidP="002D3F15">
      <w:pPr>
        <w:shd w:val="clear" w:color="auto" w:fill="FFFFFF"/>
        <w:spacing w:before="66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Pr="006A44E8" w:rsidRDefault="00474283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4C87D4F4" wp14:editId="120174A0">
            <wp:simplePos x="0" y="0"/>
            <wp:positionH relativeFrom="column">
              <wp:posOffset>-805815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6A44E8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Экскурсионно – просветительская  группа: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Разработка и проведение обзорных и учебно – тематических экскурсий;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Подготовка и проведение лекций, бесед, конкурсов, тематических вечеров и музейных праздников.</w:t>
      </w:r>
    </w:p>
    <w:p w:rsidR="002D3F15" w:rsidRPr="006A44E8" w:rsidRDefault="002D3F15" w:rsidP="002D3F15">
      <w:pPr>
        <w:shd w:val="clear" w:color="auto" w:fill="FFFFFF"/>
        <w:spacing w:before="66" w:after="100" w:afterAutospacing="1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дверей.</w:t>
      </w:r>
    </w:p>
    <w:p w:rsidR="002D3F15" w:rsidRPr="006A44E8" w:rsidRDefault="002D3F15" w:rsidP="002D3F15">
      <w:pPr>
        <w:shd w:val="clear" w:color="auto" w:fill="FFFFFF"/>
        <w:spacing w:before="66" w:after="100" w:afterAutospacing="1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Творческие отчеты.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Использование музейных предметов на уроках и во внеклассной работе.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6A44E8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Научная  группа:</w:t>
      </w:r>
    </w:p>
    <w:p w:rsidR="002D3F15" w:rsidRPr="006A44E8" w:rsidRDefault="002D3F15" w:rsidP="002D3F15">
      <w:pPr>
        <w:shd w:val="clear" w:color="auto" w:fill="FFFFFF"/>
        <w:spacing w:before="66"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  Разработка и корректировка нормативных документов, регламентиру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работу музея.</w:t>
      </w:r>
    </w:p>
    <w:p w:rsidR="002D3F15" w:rsidRPr="006A44E8" w:rsidRDefault="002D3F15" w:rsidP="002D3F15">
      <w:pPr>
        <w:shd w:val="clear" w:color="auto" w:fill="FFFFFF"/>
        <w:spacing w:before="66"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  Организация исследовательской работы.</w:t>
      </w:r>
    </w:p>
    <w:p w:rsidR="002D3F15" w:rsidRPr="006A44E8" w:rsidRDefault="002D3F15" w:rsidP="002D3F15">
      <w:pPr>
        <w:shd w:val="clear" w:color="auto" w:fill="FFFFFF"/>
        <w:spacing w:before="66"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Участие в работе школьного научного общества.</w:t>
      </w:r>
    </w:p>
    <w:p w:rsidR="002D3F15" w:rsidRPr="006A44E8" w:rsidRDefault="002D3F15" w:rsidP="002D3F15">
      <w:pPr>
        <w:shd w:val="clear" w:color="auto" w:fill="FFFFFF"/>
        <w:spacing w:before="66"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      Участие в </w:t>
      </w:r>
      <w:proofErr w:type="gramStart"/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proofErr w:type="gramEnd"/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районных,  областных, российских научно-практические конференции.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      Сотрудничество с музеями, архивами, учреждениями дополнител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образования, библиотеками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Обмен опытом с музеями других школ.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Руководитель каждой функциональной группы входит в состав Совета школьного музея, работу которого возглавляет  председатель Совета музея.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Default="002D3F15" w:rsidP="002D3F15">
      <w:pPr>
        <w:pStyle w:val="a5"/>
        <w:rPr>
          <w:color w:val="17365D" w:themeColor="text2" w:themeShade="BF"/>
          <w:sz w:val="40"/>
          <w:szCs w:val="40"/>
          <w:lang w:eastAsia="ru-RU"/>
        </w:rPr>
      </w:pPr>
    </w:p>
    <w:p w:rsidR="002D3F15" w:rsidRDefault="002D3F15" w:rsidP="002D3F15">
      <w:pPr>
        <w:pStyle w:val="a5"/>
        <w:rPr>
          <w:color w:val="17365D" w:themeColor="text2" w:themeShade="BF"/>
          <w:sz w:val="40"/>
          <w:szCs w:val="40"/>
          <w:lang w:eastAsia="ru-RU"/>
        </w:rPr>
      </w:pPr>
    </w:p>
    <w:p w:rsidR="002D3F15" w:rsidRDefault="002D3F15" w:rsidP="002D3F15">
      <w:pPr>
        <w:pStyle w:val="a5"/>
        <w:rPr>
          <w:color w:val="17365D" w:themeColor="text2" w:themeShade="BF"/>
          <w:sz w:val="40"/>
          <w:szCs w:val="40"/>
          <w:lang w:eastAsia="ru-RU"/>
        </w:rPr>
      </w:pPr>
    </w:p>
    <w:p w:rsidR="002D3F15" w:rsidRPr="006A44E8" w:rsidRDefault="00474283" w:rsidP="002D3F15">
      <w:pPr>
        <w:pStyle w:val="a5"/>
        <w:rPr>
          <w:color w:val="17365D" w:themeColor="text2" w:themeShade="BF"/>
          <w:sz w:val="40"/>
          <w:szCs w:val="4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4C87D4F4" wp14:editId="120174A0">
            <wp:simplePos x="0" y="0"/>
            <wp:positionH relativeFrom="column">
              <wp:posOffset>-777240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F15" w:rsidRPr="006A44E8">
        <w:rPr>
          <w:color w:val="17365D" w:themeColor="text2" w:themeShade="BF"/>
          <w:sz w:val="40"/>
          <w:szCs w:val="40"/>
          <w:lang w:eastAsia="ru-RU"/>
        </w:rPr>
        <w:t xml:space="preserve">Полномочия </w:t>
      </w:r>
      <w:r w:rsidR="002D3F15">
        <w:rPr>
          <w:color w:val="17365D" w:themeColor="text2" w:themeShade="BF"/>
          <w:sz w:val="40"/>
          <w:szCs w:val="40"/>
          <w:lang w:eastAsia="ru-RU"/>
        </w:rPr>
        <w:t>Актива</w:t>
      </w:r>
      <w:r w:rsidR="002D3F15" w:rsidRPr="006A44E8">
        <w:rPr>
          <w:color w:val="17365D" w:themeColor="text2" w:themeShade="BF"/>
          <w:sz w:val="40"/>
          <w:szCs w:val="40"/>
          <w:lang w:eastAsia="ru-RU"/>
        </w:rPr>
        <w:t xml:space="preserve"> школьного  музея: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Проведение отчетных и отчетно – выборных  собраний;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Координация деятельности  функциональных групп и рассмотрение  их планов и отчетов;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Подготовка и участие школьного музея в окружных краеведческих конференциях и других внешкольных краеведческих мероприятиях;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Охрана памятников истории и культуры, объектов природы, мемориала  Славы;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Организация  экспедиций и акций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музея вовлекает в краеведческую работу учащихся всей школы, разрабатывая  краеведческие задания для всех классов и устанавливая </w:t>
      </w:r>
      <w:proofErr w:type="gramStart"/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 за</w:t>
      </w:r>
      <w:proofErr w:type="gramEnd"/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выполнением. Весь собранный учащимися школы краеведческий материал сосредоточивается и приводится в систему  в школьном музее.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Актива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музея курирует:</w:t>
      </w:r>
    </w:p>
    <w:p w:rsidR="002D3F15" w:rsidRPr="006A44E8" w:rsidRDefault="002D3F15" w:rsidP="002D3F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Петровна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языка и литературы</w:t>
      </w: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 дополнительного образования</w:t>
      </w: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Default="002D3F15" w:rsidP="002D3F1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F15" w:rsidRPr="00361199" w:rsidRDefault="00474283" w:rsidP="002D3F15">
      <w:pPr>
        <w:pStyle w:val="a5"/>
        <w:tabs>
          <w:tab w:val="left" w:pos="9214"/>
        </w:tabs>
        <w:ind w:left="142" w:right="141"/>
        <w:jc w:val="center"/>
        <w:rPr>
          <w:color w:val="17365D" w:themeColor="text2" w:themeShade="BF"/>
          <w:sz w:val="48"/>
          <w:szCs w:val="4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 wp14:anchorId="4C87D4F4" wp14:editId="120174A0">
            <wp:simplePos x="0" y="0"/>
            <wp:positionH relativeFrom="column">
              <wp:posOffset>-796290</wp:posOffset>
            </wp:positionH>
            <wp:positionV relativeFrom="paragraph">
              <wp:posOffset>-310515</wp:posOffset>
            </wp:positionV>
            <wp:extent cx="7019925" cy="9972675"/>
            <wp:effectExtent l="19050" t="19050" r="9525" b="9525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97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D3F15">
        <w:rPr>
          <w:color w:val="17365D" w:themeColor="text2" w:themeShade="BF"/>
          <w:sz w:val="48"/>
          <w:szCs w:val="48"/>
          <w:lang w:eastAsia="ru-RU"/>
        </w:rPr>
        <w:t xml:space="preserve">Актив </w:t>
      </w:r>
    </w:p>
    <w:p w:rsidR="002D3F15" w:rsidRPr="00361199" w:rsidRDefault="002D3F15" w:rsidP="002D3F15">
      <w:pPr>
        <w:pStyle w:val="a5"/>
        <w:tabs>
          <w:tab w:val="left" w:pos="9214"/>
        </w:tabs>
        <w:ind w:left="142" w:right="141"/>
        <w:jc w:val="center"/>
        <w:rPr>
          <w:color w:val="17365D" w:themeColor="text2" w:themeShade="BF"/>
          <w:sz w:val="32"/>
          <w:szCs w:val="32"/>
          <w:lang w:eastAsia="ru-RU"/>
        </w:rPr>
      </w:pPr>
      <w:r w:rsidRPr="00361199">
        <w:rPr>
          <w:color w:val="17365D" w:themeColor="text2" w:themeShade="BF"/>
          <w:sz w:val="32"/>
          <w:szCs w:val="32"/>
          <w:lang w:eastAsia="ru-RU"/>
        </w:rPr>
        <w:t>школьного историко-краеведческого музея  «Память»</w:t>
      </w:r>
    </w:p>
    <w:p w:rsidR="002D3F15" w:rsidRPr="00361199" w:rsidRDefault="002D3F15" w:rsidP="002D3F15">
      <w:pPr>
        <w:pStyle w:val="a5"/>
        <w:tabs>
          <w:tab w:val="left" w:pos="9214"/>
        </w:tabs>
        <w:ind w:left="142" w:right="141"/>
        <w:jc w:val="center"/>
        <w:rPr>
          <w:color w:val="17365D" w:themeColor="text2" w:themeShade="BF"/>
          <w:sz w:val="32"/>
          <w:szCs w:val="32"/>
          <w:lang w:eastAsia="ru-RU"/>
        </w:rPr>
      </w:pPr>
      <w:r w:rsidRPr="00361199">
        <w:rPr>
          <w:color w:val="17365D" w:themeColor="text2" w:themeShade="BF"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2D3F15" w:rsidRPr="00361199" w:rsidRDefault="002D3F15" w:rsidP="002D3F15">
      <w:pPr>
        <w:pStyle w:val="a5"/>
        <w:tabs>
          <w:tab w:val="left" w:pos="9214"/>
        </w:tabs>
        <w:ind w:left="142" w:right="141"/>
        <w:jc w:val="center"/>
        <w:rPr>
          <w:color w:val="17365D" w:themeColor="text2" w:themeShade="BF"/>
          <w:sz w:val="32"/>
          <w:szCs w:val="32"/>
          <w:lang w:eastAsia="ru-RU"/>
        </w:rPr>
      </w:pPr>
      <w:proofErr w:type="spellStart"/>
      <w:r w:rsidRPr="00361199">
        <w:rPr>
          <w:color w:val="17365D" w:themeColor="text2" w:themeShade="BF"/>
          <w:sz w:val="32"/>
          <w:szCs w:val="32"/>
          <w:lang w:eastAsia="ru-RU"/>
        </w:rPr>
        <w:t>Камышевская</w:t>
      </w:r>
      <w:proofErr w:type="spellEnd"/>
      <w:r w:rsidRPr="00361199">
        <w:rPr>
          <w:color w:val="17365D" w:themeColor="text2" w:themeShade="BF"/>
          <w:sz w:val="32"/>
          <w:szCs w:val="32"/>
          <w:lang w:eastAsia="ru-RU"/>
        </w:rPr>
        <w:t xml:space="preserve"> средняя «Казачья» общеобразовательная школа</w:t>
      </w:r>
    </w:p>
    <w:tbl>
      <w:tblPr>
        <w:tblW w:w="0" w:type="auto"/>
        <w:jc w:val="center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3287"/>
        <w:gridCol w:w="2855"/>
      </w:tblGrid>
      <w:tr w:rsidR="002D3F15" w:rsidRPr="006A44E8" w:rsidTr="000748E8">
        <w:trPr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СЕКЦИИ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УЧЕНИЧЕСКИЙ СОВЕТ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2D3F15" w:rsidRPr="006A44E8" w:rsidTr="000748E8">
        <w:trPr>
          <w:jc w:val="center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музея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  музея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3F15" w:rsidRPr="006A44E8" w:rsidTr="000748E8">
        <w:trPr>
          <w:jc w:val="center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Поисково-собирательская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Аракелян Ани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Default="002D3F15" w:rsidP="000748E8">
            <w:pPr>
              <w:jc w:val="center"/>
            </w:pPr>
            <w:proofErr w:type="spellStart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</w:t>
            </w:r>
            <w:proofErr w:type="spellEnd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</w:tr>
      <w:tr w:rsidR="002D3F15" w:rsidRPr="006A44E8" w:rsidTr="000748E8">
        <w:trPr>
          <w:jc w:val="center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Фондовая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Default="002D3F15" w:rsidP="000748E8">
            <w:pPr>
              <w:jc w:val="center"/>
            </w:pPr>
            <w:proofErr w:type="spellStart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</w:t>
            </w:r>
            <w:proofErr w:type="spellEnd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</w:tr>
      <w:tr w:rsidR="002D3F15" w:rsidRPr="006A44E8" w:rsidTr="000748E8">
        <w:trPr>
          <w:jc w:val="center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Кияшко Евгения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 класс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Default="002D3F15" w:rsidP="000748E8">
            <w:pPr>
              <w:jc w:val="center"/>
            </w:pPr>
            <w:proofErr w:type="spellStart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</w:t>
            </w:r>
            <w:proofErr w:type="spellEnd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</w:tr>
      <w:tr w:rsidR="002D3F15" w:rsidRPr="006A44E8" w:rsidTr="000748E8">
        <w:trPr>
          <w:jc w:val="center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Экскурсионно-просветительская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Иванков Александр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Default="002D3F15" w:rsidP="000748E8">
            <w:pPr>
              <w:jc w:val="center"/>
            </w:pPr>
            <w:proofErr w:type="spellStart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</w:t>
            </w:r>
            <w:proofErr w:type="spellEnd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</w:tr>
      <w:tr w:rsidR="002D3F15" w:rsidRPr="006A44E8" w:rsidTr="000748E8">
        <w:trPr>
          <w:jc w:val="center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Экспозиционно-выставочная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 Александр</w:t>
            </w:r>
          </w:p>
          <w:p w:rsidR="002D3F15" w:rsidRPr="006A44E8" w:rsidRDefault="002D3F15" w:rsidP="0007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A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класс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F15" w:rsidRDefault="002D3F15" w:rsidP="000748E8">
            <w:pPr>
              <w:jc w:val="center"/>
            </w:pPr>
            <w:proofErr w:type="spellStart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</w:t>
            </w:r>
            <w:proofErr w:type="spellEnd"/>
            <w:r w:rsidRPr="00E00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</w:tr>
    </w:tbl>
    <w:p w:rsidR="002D3F15" w:rsidRPr="006A44E8" w:rsidRDefault="002D3F15" w:rsidP="002D3F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D3F15" w:rsidRPr="006A44E8" w:rsidTr="000748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3F15" w:rsidRPr="006A44E8" w:rsidRDefault="002D3F15" w:rsidP="00074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3F15" w:rsidRPr="00244592" w:rsidRDefault="002D3F15" w:rsidP="002D3F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84B" w:rsidRDefault="00B0184B"/>
    <w:sectPr w:rsidR="00B0184B" w:rsidSect="002C09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F15"/>
    <w:rsid w:val="002D3F15"/>
    <w:rsid w:val="00474283"/>
    <w:rsid w:val="005E418F"/>
    <w:rsid w:val="00B0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15"/>
  </w:style>
  <w:style w:type="paragraph" w:styleId="2">
    <w:name w:val="heading 2"/>
    <w:basedOn w:val="a"/>
    <w:next w:val="a"/>
    <w:link w:val="20"/>
    <w:uiPriority w:val="9"/>
    <w:unhideWhenUsed/>
    <w:qFormat/>
    <w:rsid w:val="002D3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3F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3F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2D3F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D3F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2D3F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D3F1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2016-12-15T12:33:00Z</cp:lastPrinted>
  <dcterms:created xsi:type="dcterms:W3CDTF">2016-02-23T19:03:00Z</dcterms:created>
  <dcterms:modified xsi:type="dcterms:W3CDTF">2016-12-15T12:43:00Z</dcterms:modified>
</cp:coreProperties>
</file>