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B4" w:rsidRPr="00E705B4" w:rsidRDefault="00E705B4" w:rsidP="005A4BBB">
      <w:pPr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inherit" w:eastAsia="Times New Roman" w:hAnsi="inherit" w:cs="Arial"/>
          <w:b/>
          <w:bCs/>
          <w:sz w:val="42"/>
          <w:szCs w:val="42"/>
          <w:lang w:eastAsia="ru-RU"/>
        </w:rPr>
        <w:t xml:space="preserve">Кредитные продукты </w:t>
      </w:r>
      <w:r w:rsidR="005A4BBB">
        <w:rPr>
          <w:rFonts w:ascii="inherit" w:eastAsia="Times New Roman" w:hAnsi="inherit" w:cs="Arial"/>
          <w:b/>
          <w:bCs/>
          <w:sz w:val="42"/>
          <w:szCs w:val="42"/>
          <w:lang w:eastAsia="ru-RU"/>
        </w:rPr>
        <w:t xml:space="preserve">МСП Банка </w:t>
      </w:r>
      <w:r w:rsidRPr="00E705B4">
        <w:rPr>
          <w:rFonts w:ascii="inherit" w:eastAsia="Times New Roman" w:hAnsi="inherit" w:cs="Arial"/>
          <w:b/>
          <w:bCs/>
          <w:sz w:val="42"/>
          <w:szCs w:val="42"/>
          <w:lang w:eastAsia="ru-RU"/>
        </w:rPr>
        <w:t>по «Программе 6,5»</w:t>
      </w:r>
      <w:r w:rsidRPr="00E705B4">
        <w:rPr>
          <w:rFonts w:ascii="inherit" w:eastAsia="Times New Roman" w:hAnsi="inherit" w:cs="Arial"/>
          <w:b/>
          <w:bCs/>
          <w:sz w:val="42"/>
          <w:szCs w:val="42"/>
          <w:lang w:eastAsia="ru-RU"/>
        </w:rPr>
        <w:br/>
      </w:r>
    </w:p>
    <w:p w:rsidR="00E705B4" w:rsidRPr="00E705B4" w:rsidRDefault="00E705B4" w:rsidP="00E705B4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В кредитной линейке МСП Банка представлены 5 продуктов, средства по которым предоставляются по «Программе 6,5».</w:t>
      </w:r>
    </w:p>
    <w:p w:rsidR="00E705B4" w:rsidRPr="00E705B4" w:rsidRDefault="00E705B4" w:rsidP="00E705B4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Цель кредитования — приобретение основных средств, модернизация и реконструкция производства, запуск новых проектов, а также пополнение оборотных средств при реализации проектов в приоритетных отраслях экономики.</w:t>
      </w:r>
    </w:p>
    <w:p w:rsidR="00E705B4" w:rsidRPr="007C1B10" w:rsidRDefault="00E705B4" w:rsidP="007C1B10">
      <w:pPr>
        <w:pStyle w:val="a3"/>
        <w:numPr>
          <w:ilvl w:val="0"/>
          <w:numId w:val="1"/>
        </w:numPr>
        <w:tabs>
          <w:tab w:val="left" w:pos="7351"/>
        </w:tabs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7921D"/>
          <w:sz w:val="28"/>
          <w:szCs w:val="28"/>
          <w:lang w:eastAsia="ru-RU"/>
        </w:rPr>
      </w:pPr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Инвестиционный проект</w:t>
      </w:r>
      <w:r w:rsidRPr="007C1B10">
        <w:rPr>
          <w:rFonts w:ascii="Times New Roman" w:eastAsia="Times New Roman" w:hAnsi="Times New Roman" w:cs="Times New Roman"/>
          <w:b/>
          <w:bCs/>
          <w:color w:val="F7921D"/>
          <w:sz w:val="28"/>
          <w:szCs w:val="28"/>
          <w:lang w:eastAsia="ru-RU"/>
        </w:rPr>
        <w:tab/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Финансирование инвестиций, направленных на создание или приобретение основных средств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25-500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84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Малый бизнес: 10,1%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  <w:t>Средний бизнес: 9,1% годовых</w:t>
      </w:r>
    </w:p>
    <w:p w:rsidR="00E705B4" w:rsidRPr="00E705B4" w:rsidRDefault="00E705B4" w:rsidP="00E705B4">
      <w:p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кредита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r w:rsidRPr="00E7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в </w:t>
      </w:r>
      <w:proofErr w:type="spellStart"/>
      <w:r w:rsidRPr="00E7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E7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финансирование оборотного капитала (не более 30% от величины кредита).</w:t>
      </w:r>
    </w:p>
    <w:p w:rsidR="00E705B4" w:rsidRPr="007C1B10" w:rsidRDefault="00E705B4" w:rsidP="007C1B10">
      <w:pPr>
        <w:pStyle w:val="a3"/>
        <w:numPr>
          <w:ilvl w:val="0"/>
          <w:numId w:val="1"/>
        </w:num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Инвестиционный кредит</w:t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Финансирование инвестиций, направленных на создание или приобретение основных средств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10-25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60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Малый бизнес: 10,1%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  <w:t>Средний бизнес: 9,1% годовых</w:t>
      </w:r>
    </w:p>
    <w:p w:rsidR="00E705B4" w:rsidRPr="00E705B4" w:rsidRDefault="00E705B4" w:rsidP="00E705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Цель кредита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lastRenderedPageBreak/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в </w:t>
      </w:r>
      <w:proofErr w:type="spellStart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т.ч</w:t>
      </w:r>
      <w:proofErr w:type="spellEnd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. финансирование оборотного капитала (не более 30% от величины кредита).</w:t>
      </w:r>
    </w:p>
    <w:p w:rsidR="00E705B4" w:rsidRPr="00E705B4" w:rsidRDefault="00E705B4" w:rsidP="00E70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</w:p>
    <w:p w:rsidR="00E705B4" w:rsidRPr="007C1B10" w:rsidRDefault="00E705B4" w:rsidP="007C1B10">
      <w:pPr>
        <w:pStyle w:val="a3"/>
        <w:numPr>
          <w:ilvl w:val="0"/>
          <w:numId w:val="1"/>
        </w:num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 — Оборотный</w:t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Пополнение оборотных средств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25-250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36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Малый бизнес: 10,6%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  <w:t>Средний бизнес: 9,6% годовых</w:t>
      </w:r>
    </w:p>
    <w:p w:rsidR="00E705B4" w:rsidRPr="007C1B10" w:rsidRDefault="00E705B4" w:rsidP="007C1B10">
      <w:pPr>
        <w:pStyle w:val="a3"/>
        <w:numPr>
          <w:ilvl w:val="0"/>
          <w:numId w:val="1"/>
        </w:num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 — Оборотный</w:t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Пополнение оборотных средств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10-25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12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Малый бизнес: 10,6%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  <w:t>Средний бизнес: 9,6% годовых</w:t>
      </w:r>
    </w:p>
    <w:p w:rsidR="00E705B4" w:rsidRPr="007C1B10" w:rsidRDefault="00E705B4" w:rsidP="007C1B10">
      <w:pPr>
        <w:pStyle w:val="a3"/>
        <w:numPr>
          <w:ilvl w:val="0"/>
          <w:numId w:val="1"/>
        </w:num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Госконтракт</w:t>
      </w:r>
      <w:proofErr w:type="spellEnd"/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Оборотный</w:t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Финансирование расходов, связанных с исполнением контрактов в рамках федеральных законов №44-ФЗ и №223-ФЗ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10-250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36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Малый бизнес: 10,6%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  <w:t>Средний бизнес: 9,6% годовых</w:t>
      </w:r>
    </w:p>
    <w:p w:rsidR="00C2091E" w:rsidRDefault="00E705B4" w:rsidP="00C20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кредита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финансирование расходов, связанных с исполнением контрактов в рамках федеральных законов №44-ФЗ и №223-ФЗ.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сумме кредита до 25 млн рублей в залог берутся только будущие поступления по контракту.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0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Сумма кредита 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 10 до 250 млн рублей, но не более 70% суммы контракта, уменьшенной на сумму полученного аванса и на сумму произведенных оплат за выполнение контракта от заказчика.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0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кредита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более 36 месяцев, но не более срока действия контракта, увеличенного на 90 дней.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091E" w:rsidRDefault="00C2091E" w:rsidP="00C20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91E" w:rsidRDefault="00C2091E" w:rsidP="00C20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5B4" w:rsidRPr="00826541" w:rsidRDefault="00E705B4" w:rsidP="008265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Экспресс на текущие цели</w:t>
      </w:r>
    </w:p>
    <w:p w:rsidR="00C2091E" w:rsidRPr="007C1B10" w:rsidRDefault="00C2091E" w:rsidP="00C20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Пополнение оборотных средств, финансирование текущей деятельности, уплату налогов и другие платежи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1-5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12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12,5%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</w:r>
      <w:proofErr w:type="gramStart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Для</w:t>
      </w:r>
      <w:proofErr w:type="gramEnd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 xml:space="preserve"> женщин-предпринимателей – 10,6% годовых</w:t>
      </w:r>
    </w:p>
    <w:p w:rsidR="00C2091E" w:rsidRDefault="00E64E77" w:rsidP="00E64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низации женского предпринимательства, получившие нефинансовую поддержку со стороны АО «Корпорация «МСП» в </w:t>
      </w:r>
      <w:proofErr w:type="gramStart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виде: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по программам тренингов для субъектов МСП АО «Корпорация «МСП», в том числе «Мама – предприниматель», или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консультационной поддержки через Бизнес-навигатор МСП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4E77" w:rsidRPr="00E64E77" w:rsidRDefault="00E64E77" w:rsidP="00E64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кредита – пополнение оборотных средств, финансирование текущей деятельности, включая приобретение товарно-материальных ценностей, сырья и материалов, горюче-смазочных материалов; осуществление арендных платежей; выплату заработной платы, уплату налогов и другие платежи, не связанные с капитальными вложениями.</w:t>
      </w:r>
    </w:p>
    <w:p w:rsidR="00E705B4" w:rsidRPr="00E705B4" w:rsidRDefault="00E705B4" w:rsidP="00E70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B4" w:rsidRPr="007C1B10" w:rsidRDefault="00E705B4" w:rsidP="007C1B10">
      <w:pPr>
        <w:pStyle w:val="a3"/>
        <w:numPr>
          <w:ilvl w:val="0"/>
          <w:numId w:val="1"/>
        </w:num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 на инвестиции</w:t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Финансирование инвестиций, направленных на создание или приобретение основных средств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1-15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36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12,5%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</w:r>
      <w:proofErr w:type="gramStart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Для</w:t>
      </w:r>
      <w:proofErr w:type="gramEnd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 xml:space="preserve"> женщин-предпринимателей – 10,6% годовых</w:t>
      </w:r>
    </w:p>
    <w:p w:rsidR="00E64E77" w:rsidRPr="00E64E77" w:rsidRDefault="00E64E77" w:rsidP="00E64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женского предпринимательства, получившие нефинансовую поддержку со стороны АО «Корпорация «МСП» в </w:t>
      </w:r>
      <w:proofErr w:type="gramStart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виде: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по программам тренингов для субъектов МСП АО «Корпорация «МСП», в том числе «Мама – предприниматель», или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консультационной поддержки через Бизнес-навигатор МСП</w:t>
      </w:r>
    </w:p>
    <w:p w:rsidR="00E64E77" w:rsidRPr="00E64E77" w:rsidRDefault="00E64E77" w:rsidP="00E64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E77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кредита - финансирование </w:t>
      </w:r>
      <w:proofErr w:type="gramStart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инвестиций: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 и/или ремонт и/или модернизация основных средств (машин, оборудования, зданий, сооружений, помещений, земельных участков и т.д.)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строительство и/или реконструкция зданий/сооружений/ помещений, находящихся в собственности или долгосрочной аренде</w:t>
      </w:r>
    </w:p>
    <w:p w:rsidR="00F10E4B" w:rsidRDefault="00F10E4B">
      <w:pPr>
        <w:rPr>
          <w:rFonts w:ascii="Times New Roman" w:hAnsi="Times New Roman" w:cs="Times New Roman"/>
          <w:sz w:val="24"/>
          <w:szCs w:val="24"/>
        </w:rPr>
      </w:pPr>
    </w:p>
    <w:p w:rsidR="007C1B10" w:rsidRPr="00E705B4" w:rsidRDefault="00435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данные: </w:t>
      </w:r>
      <w:bookmarkStart w:id="0" w:name="_GoBack"/>
      <w:bookmarkEnd w:id="0"/>
      <w:r w:rsidRPr="004356A0">
        <w:rPr>
          <w:rFonts w:ascii="Times New Roman" w:hAnsi="Times New Roman" w:cs="Times New Roman"/>
          <w:sz w:val="24"/>
          <w:szCs w:val="24"/>
        </w:rPr>
        <w:t xml:space="preserve">акционерное общество «Федеральная корпорация по развитию малого и среднего </w:t>
      </w:r>
      <w:proofErr w:type="gramStart"/>
      <w:r w:rsidRPr="004356A0">
        <w:rPr>
          <w:rFonts w:ascii="Times New Roman" w:hAnsi="Times New Roman" w:cs="Times New Roman"/>
          <w:sz w:val="24"/>
          <w:szCs w:val="24"/>
        </w:rPr>
        <w:t>предпринимательства»</w:t>
      </w:r>
      <w:r w:rsidRPr="004356A0">
        <w:rPr>
          <w:rFonts w:ascii="Times New Roman" w:hAnsi="Times New Roman" w:cs="Times New Roman"/>
          <w:sz w:val="24"/>
          <w:szCs w:val="24"/>
        </w:rPr>
        <w:br/>
        <w:t>   </w:t>
      </w:r>
      <w:proofErr w:type="gramEnd"/>
      <w:r w:rsidRPr="004356A0">
        <w:rPr>
          <w:rFonts w:ascii="Times New Roman" w:hAnsi="Times New Roman" w:cs="Times New Roman"/>
          <w:sz w:val="24"/>
          <w:szCs w:val="24"/>
        </w:rPr>
        <w:t xml:space="preserve">  Москва, Славянская площадь, д. 4, стр. 1, тел. +7 495 698 98 00</w:t>
      </w:r>
      <w:r w:rsidRPr="004356A0">
        <w:rPr>
          <w:rFonts w:ascii="Times New Roman" w:hAnsi="Times New Roman" w:cs="Times New Roman"/>
          <w:sz w:val="24"/>
          <w:szCs w:val="24"/>
        </w:rPr>
        <w:br/>
        <w:t>     www.corpmsp.ru, info@corpmsp.ru.</w:t>
      </w:r>
    </w:p>
    <w:sectPr w:rsidR="007C1B10" w:rsidRPr="00E705B4" w:rsidSect="00C209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769EC"/>
    <w:multiLevelType w:val="hybridMultilevel"/>
    <w:tmpl w:val="861E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B6"/>
    <w:rsid w:val="000061B6"/>
    <w:rsid w:val="00227BBB"/>
    <w:rsid w:val="003447AF"/>
    <w:rsid w:val="004356A0"/>
    <w:rsid w:val="0054048C"/>
    <w:rsid w:val="005A4BBB"/>
    <w:rsid w:val="007C1B10"/>
    <w:rsid w:val="00826541"/>
    <w:rsid w:val="00995B1B"/>
    <w:rsid w:val="00C2091E"/>
    <w:rsid w:val="00E64E77"/>
    <w:rsid w:val="00E705B4"/>
    <w:rsid w:val="00E8162F"/>
    <w:rsid w:val="00F10E4B"/>
    <w:rsid w:val="00F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170A5-A286-43DA-B225-D82C0A81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6440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6732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23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5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8214629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50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447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613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97603616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5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13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3272490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157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003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999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1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34139387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69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64927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23359085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439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0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99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693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3873340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139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24823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7561276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93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82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957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6566920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172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1788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1725889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70263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1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79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5730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0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58244357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0046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919293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6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15" w:color="auto"/>
                <w:right w:val="single" w:sz="18" w:space="8" w:color="2196F3"/>
              </w:divBdr>
              <w:divsChild>
                <w:div w:id="7566793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17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9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68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0148">
              <w:marLeft w:val="0"/>
              <w:marRight w:val="0"/>
              <w:marTop w:val="0"/>
              <w:marBottom w:val="0"/>
              <w:divBdr>
                <w:top w:val="single" w:sz="18" w:space="0" w:color="2196F3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2628397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7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16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15" w:color="auto"/>
                <w:right w:val="single" w:sz="18" w:space="8" w:color="2196F3"/>
              </w:divBdr>
              <w:divsChild>
                <w:div w:id="7335028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66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42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90714">
              <w:marLeft w:val="0"/>
              <w:marRight w:val="0"/>
              <w:marTop w:val="0"/>
              <w:marBottom w:val="0"/>
              <w:divBdr>
                <w:top w:val="single" w:sz="18" w:space="0" w:color="2196F3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3511840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4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3489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4019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9196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096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271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85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686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29912040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667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98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56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8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1164110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208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35077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27698772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10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3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33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322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9409422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767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31882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1235044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14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04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955864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306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79375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49342287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5512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556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3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6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7243757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72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5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93810045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289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48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470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1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4274471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841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7297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84886402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3754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4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3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046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46565925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85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28171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2680782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739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8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800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821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61062385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05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194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539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15" w:color="auto"/>
                <w:right w:val="single" w:sz="18" w:space="8" w:color="2196F3"/>
              </w:divBdr>
              <w:divsChild>
                <w:div w:id="2448048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0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7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10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21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862701">
              <w:marLeft w:val="0"/>
              <w:marRight w:val="0"/>
              <w:marTop w:val="0"/>
              <w:marBottom w:val="0"/>
              <w:divBdr>
                <w:top w:val="single" w:sz="18" w:space="0" w:color="2196F3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7818791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0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12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15" w:color="auto"/>
                <w:right w:val="single" w:sz="18" w:space="8" w:color="2196F3"/>
              </w:divBdr>
              <w:divsChild>
                <w:div w:id="18190312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96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51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38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970225">
              <w:marLeft w:val="0"/>
              <w:marRight w:val="0"/>
              <w:marTop w:val="0"/>
              <w:marBottom w:val="0"/>
              <w:divBdr>
                <w:top w:val="single" w:sz="18" w:space="0" w:color="2196F3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6505265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5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637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F3C4-39E2-43BD-AA28-BF38377F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Татьяна Михайловна</dc:creator>
  <cp:keywords/>
  <dc:description/>
  <cp:lastModifiedBy>ECO-Specialist</cp:lastModifiedBy>
  <cp:revision>3</cp:revision>
  <cp:lastPrinted>2017-06-09T08:36:00Z</cp:lastPrinted>
  <dcterms:created xsi:type="dcterms:W3CDTF">2017-06-15T07:02:00Z</dcterms:created>
  <dcterms:modified xsi:type="dcterms:W3CDTF">2017-06-15T07:57:00Z</dcterms:modified>
</cp:coreProperties>
</file>