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723140">
        <w:rPr>
          <w:rFonts w:ascii="Times New Roman" w:hAnsi="Times New Roman"/>
          <w:bCs/>
          <w:sz w:val="28"/>
          <w:szCs w:val="28"/>
        </w:rPr>
        <w:t>12.07.2023г.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723140">
        <w:rPr>
          <w:rFonts w:ascii="Times New Roman" w:hAnsi="Times New Roman"/>
          <w:bCs/>
          <w:sz w:val="28"/>
          <w:szCs w:val="28"/>
        </w:rPr>
        <w:t>57/211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45091">
        <w:rPr>
          <w:rFonts w:ascii="Times New Roman" w:hAnsi="Times New Roman"/>
          <w:sz w:val="28"/>
          <w:szCs w:val="28"/>
        </w:rPr>
        <w:t>40 226,3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845091">
        <w:rPr>
          <w:rFonts w:ascii="Times New Roman" w:hAnsi="Times New Roman"/>
          <w:sz w:val="28"/>
          <w:szCs w:val="28"/>
        </w:rPr>
        <w:t>43 136,4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6C2F1B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="00EF5C6B">
        <w:rPr>
          <w:rFonts w:ascii="Times New Roman" w:hAnsi="Times New Roman"/>
          <w:sz w:val="28"/>
          <w:szCs w:val="28"/>
        </w:rPr>
        <w:t xml:space="preserve"> Л.С.Руденко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043E1" w:rsidRDefault="00E043E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>12.07.2023 г.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2520</w:t>
            </w:r>
            <w:r w:rsidR="00845091"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845091" w:rsidRPr="00845091" w:rsidTr="00845091">
        <w:tc>
          <w:tcPr>
            <w:tcW w:w="2421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15025,3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15017,9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5348,2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845091">
        <w:tc>
          <w:tcPr>
            <w:tcW w:w="2421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1100,0</w:t>
            </w:r>
          </w:p>
        </w:tc>
      </w:tr>
      <w:tr w:rsidR="008E120D" w:rsidRPr="00845091" w:rsidTr="00845091">
        <w:tc>
          <w:tcPr>
            <w:tcW w:w="2421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40226,3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E120D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45091" w:rsidRDefault="0084509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45091" w:rsidRDefault="0084509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E120D" w:rsidRPr="004C1671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845091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091" w:rsidRPr="00A96B59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 xml:space="preserve">12.07.2023 г. </w:t>
      </w:r>
      <w:r w:rsidR="00DD7C50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E043E1">
        <w:trPr>
          <w:trHeight w:val="6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E043E1">
        <w:trPr>
          <w:trHeight w:val="65"/>
        </w:trPr>
        <w:tc>
          <w:tcPr>
            <w:tcW w:w="1006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E043E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43 136,4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6557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2814,9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E04308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845091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1189,9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566,7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2,6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31E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Л.С.</w:t>
      </w:r>
      <w:r w:rsidR="005D3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Руденко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 xml:space="preserve">12.07.2023 г. </w:t>
      </w:r>
      <w:r w:rsidR="00DD7C50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D06B05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D06B05">
        <w:trPr>
          <w:trHeight w:val="33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1160F" w:rsidRPr="00FD5E12" w:rsidTr="00F82719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1009,9</w:t>
            </w:r>
          </w:p>
        </w:tc>
      </w:tr>
      <w:tr w:rsidR="0011160F" w:rsidRPr="00FD5E12" w:rsidTr="00F82719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</w:t>
            </w:r>
            <w:r w:rsidR="00036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160F" w:rsidRPr="00FD5E12" w:rsidTr="00F82719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11160F" w:rsidRPr="00FD5E12" w:rsidTr="00F82719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F82719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F82719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Павловского района на 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160F" w:rsidRPr="00FD5E12" w:rsidTr="00F82719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159E8">
        <w:trPr>
          <w:trHeight w:val="3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11160F" w:rsidRPr="00FD5E12" w:rsidTr="00F159E8">
        <w:trPr>
          <w:trHeight w:val="5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159E8">
        <w:trPr>
          <w:trHeight w:val="9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159E8">
        <w:trPr>
          <w:trHeight w:val="7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A44081" w:rsidRPr="00FD5E12" w:rsidTr="0071292B">
        <w:trPr>
          <w:trHeight w:val="90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A44081" w:rsidRPr="00FD5E12" w:rsidRDefault="00A44081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762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81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078" w:rsidRDefault="009F7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078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11160F" w:rsidRPr="00FD5E12" w:rsidTr="00F82719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11160F" w:rsidRPr="00FD5E12" w:rsidTr="00F82719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CC04FF" w:rsidRPr="00FD5E12" w:rsidTr="00F82719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CC04FF" w:rsidRPr="00FD5E12" w:rsidRDefault="0003608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 xml:space="preserve">12.07.2023 г. </w:t>
      </w:r>
      <w:r w:rsidR="00DD7C50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6557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F55DA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2814,9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1189,9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974,7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A70FA5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7381F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7381F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DA" w:rsidRDefault="00DF55D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DA" w:rsidRDefault="00DF55D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 xml:space="preserve">12.07.2023 г. </w:t>
      </w:r>
      <w:r w:rsidR="00DD7C50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639" w:type="dxa"/>
        <w:tblInd w:w="108" w:type="dxa"/>
        <w:tblLook w:val="04A0"/>
      </w:tblPr>
      <w:tblGrid>
        <w:gridCol w:w="3119"/>
        <w:gridCol w:w="5386"/>
        <w:gridCol w:w="1134"/>
      </w:tblGrid>
      <w:tr w:rsidR="00297131" w:rsidRPr="00297131" w:rsidTr="00E043E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6166E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DB0E15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13022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DD7C50">
        <w:rPr>
          <w:rFonts w:ascii="Times New Roman" w:hAnsi="Times New Roman"/>
          <w:sz w:val="28"/>
          <w:szCs w:val="28"/>
        </w:rPr>
        <w:t xml:space="preserve">12.07.2023 г. </w:t>
      </w:r>
      <w:r w:rsidR="00DD7C50" w:rsidRPr="000671A6">
        <w:rPr>
          <w:rFonts w:ascii="Times New Roman" w:hAnsi="Times New Roman"/>
          <w:sz w:val="28"/>
          <w:szCs w:val="28"/>
        </w:rPr>
        <w:t xml:space="preserve">№ </w:t>
      </w:r>
      <w:r w:rsidR="00DD7C50">
        <w:rPr>
          <w:rFonts w:ascii="Times New Roman" w:hAnsi="Times New Roman"/>
          <w:sz w:val="28"/>
          <w:szCs w:val="28"/>
        </w:rPr>
        <w:t>57/211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5571,1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130222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9028,1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C62C43" w:rsidRPr="005C5AF7" w:rsidRDefault="00C62C43" w:rsidP="00EF5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C5" w:rsidRDefault="00E623C5" w:rsidP="00931A9F">
      <w:pPr>
        <w:spacing w:after="0" w:line="240" w:lineRule="auto"/>
      </w:pPr>
      <w:r>
        <w:separator/>
      </w:r>
    </w:p>
  </w:endnote>
  <w:endnote w:type="continuationSeparator" w:id="0">
    <w:p w:rsidR="00E623C5" w:rsidRDefault="00E623C5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C5" w:rsidRDefault="00E623C5" w:rsidP="00931A9F">
      <w:pPr>
        <w:spacing w:after="0" w:line="240" w:lineRule="auto"/>
      </w:pPr>
      <w:r>
        <w:separator/>
      </w:r>
    </w:p>
  </w:footnote>
  <w:footnote w:type="continuationSeparator" w:id="0">
    <w:p w:rsidR="00E623C5" w:rsidRDefault="00E623C5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24CFD"/>
    <w:rsid w:val="00035172"/>
    <w:rsid w:val="0003608F"/>
    <w:rsid w:val="00037D5E"/>
    <w:rsid w:val="00063B32"/>
    <w:rsid w:val="00064DBA"/>
    <w:rsid w:val="00065C26"/>
    <w:rsid w:val="00066593"/>
    <w:rsid w:val="000671A6"/>
    <w:rsid w:val="00067E5A"/>
    <w:rsid w:val="000706E0"/>
    <w:rsid w:val="00085A1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70325"/>
    <w:rsid w:val="00171DEF"/>
    <w:rsid w:val="0017254C"/>
    <w:rsid w:val="00177283"/>
    <w:rsid w:val="0017742D"/>
    <w:rsid w:val="001808CB"/>
    <w:rsid w:val="00184C4C"/>
    <w:rsid w:val="00193003"/>
    <w:rsid w:val="00193CBF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60FA8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07F3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744F"/>
    <w:rsid w:val="004F45B0"/>
    <w:rsid w:val="0050275E"/>
    <w:rsid w:val="00521979"/>
    <w:rsid w:val="00527234"/>
    <w:rsid w:val="00537A06"/>
    <w:rsid w:val="005424C5"/>
    <w:rsid w:val="0055212D"/>
    <w:rsid w:val="005527FF"/>
    <w:rsid w:val="00556291"/>
    <w:rsid w:val="005627E4"/>
    <w:rsid w:val="005750B4"/>
    <w:rsid w:val="0057529A"/>
    <w:rsid w:val="00587CC2"/>
    <w:rsid w:val="00594D24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8348A"/>
    <w:rsid w:val="0069075D"/>
    <w:rsid w:val="00695680"/>
    <w:rsid w:val="006A4F6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3140"/>
    <w:rsid w:val="00727396"/>
    <w:rsid w:val="0073379F"/>
    <w:rsid w:val="00735322"/>
    <w:rsid w:val="00741AF6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45091"/>
    <w:rsid w:val="00853261"/>
    <w:rsid w:val="00853DD1"/>
    <w:rsid w:val="00863B27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A38"/>
    <w:rsid w:val="009F5930"/>
    <w:rsid w:val="009F7078"/>
    <w:rsid w:val="00A044B7"/>
    <w:rsid w:val="00A43060"/>
    <w:rsid w:val="00A44081"/>
    <w:rsid w:val="00A44A03"/>
    <w:rsid w:val="00A54FAF"/>
    <w:rsid w:val="00A70FA5"/>
    <w:rsid w:val="00A724AE"/>
    <w:rsid w:val="00A9535C"/>
    <w:rsid w:val="00AA2D80"/>
    <w:rsid w:val="00AA5CE5"/>
    <w:rsid w:val="00AC2EE7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177B"/>
    <w:rsid w:val="00BF2E68"/>
    <w:rsid w:val="00C23202"/>
    <w:rsid w:val="00C23BF5"/>
    <w:rsid w:val="00C23EF4"/>
    <w:rsid w:val="00C2636E"/>
    <w:rsid w:val="00C42894"/>
    <w:rsid w:val="00C60D14"/>
    <w:rsid w:val="00C60DD9"/>
    <w:rsid w:val="00C62C43"/>
    <w:rsid w:val="00C6331E"/>
    <w:rsid w:val="00C71228"/>
    <w:rsid w:val="00C73943"/>
    <w:rsid w:val="00C87EBD"/>
    <w:rsid w:val="00C9098D"/>
    <w:rsid w:val="00CB3A12"/>
    <w:rsid w:val="00CC04FF"/>
    <w:rsid w:val="00CC0602"/>
    <w:rsid w:val="00CC0F85"/>
    <w:rsid w:val="00CD0CFD"/>
    <w:rsid w:val="00CD683B"/>
    <w:rsid w:val="00CD6D6B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0E15"/>
    <w:rsid w:val="00DB3A17"/>
    <w:rsid w:val="00DB6EA8"/>
    <w:rsid w:val="00DB7960"/>
    <w:rsid w:val="00DC1535"/>
    <w:rsid w:val="00DC2B26"/>
    <w:rsid w:val="00DC784E"/>
    <w:rsid w:val="00DD7C50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623C5"/>
    <w:rsid w:val="00E63453"/>
    <w:rsid w:val="00E67119"/>
    <w:rsid w:val="00E71191"/>
    <w:rsid w:val="00E81D07"/>
    <w:rsid w:val="00E824C5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29A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93D4-9964-451A-9EB3-DBE4B184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10351</Words>
  <Characters>59005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3</cp:revision>
  <cp:lastPrinted>2023-07-12T08:45:00Z</cp:lastPrinted>
  <dcterms:created xsi:type="dcterms:W3CDTF">2023-07-12T12:18:00Z</dcterms:created>
  <dcterms:modified xsi:type="dcterms:W3CDTF">2023-07-12T12:30:00Z</dcterms:modified>
</cp:coreProperties>
</file>