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4AE" w:rsidRPr="00E62615" w:rsidRDefault="00DD74AE" w:rsidP="00DD74A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2615">
        <w:rPr>
          <w:rFonts w:ascii="Times New Roman" w:hAnsi="Times New Roman" w:cs="Times New Roman"/>
          <w:sz w:val="28"/>
          <w:szCs w:val="28"/>
        </w:rPr>
        <w:t>Результаты анкетирования обучающихся 5-9 классов МБОУ ООШ №17 имени А.И.Котова хутора Славянского по  актуальному состоянию учебной мотивации  в 4 четверти</w:t>
      </w:r>
    </w:p>
    <w:p w:rsidR="00DD74AE" w:rsidRPr="00E62615" w:rsidRDefault="00DD74AE" w:rsidP="00DD74A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2615">
        <w:rPr>
          <w:rFonts w:ascii="Times New Roman" w:hAnsi="Times New Roman" w:cs="Times New Roman"/>
          <w:sz w:val="28"/>
          <w:szCs w:val="28"/>
        </w:rPr>
        <w:t xml:space="preserve"> 2020-2021 учебного года</w:t>
      </w:r>
    </w:p>
    <w:p w:rsidR="00DD74AE" w:rsidRPr="00E62615" w:rsidRDefault="00DD74AE" w:rsidP="00DD74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74AE" w:rsidRPr="00E62615" w:rsidRDefault="00DD74AE" w:rsidP="00DD74AE">
      <w:pPr>
        <w:rPr>
          <w:rFonts w:ascii="Times New Roman" w:eastAsia="Calibri" w:hAnsi="Times New Roman" w:cs="Times New Roman"/>
          <w:sz w:val="28"/>
          <w:szCs w:val="28"/>
        </w:rPr>
      </w:pPr>
      <w:r w:rsidRPr="00E62615">
        <w:rPr>
          <w:rFonts w:ascii="Times New Roman" w:eastAsia="Calibri" w:hAnsi="Times New Roman" w:cs="Times New Roman"/>
          <w:sz w:val="28"/>
          <w:szCs w:val="28"/>
        </w:rPr>
        <w:t>Класс</w:t>
      </w:r>
      <w:r w:rsidRPr="00E62615">
        <w:rPr>
          <w:rFonts w:ascii="Times New Roman" w:hAnsi="Times New Roman" w:cs="Times New Roman"/>
          <w:sz w:val="28"/>
          <w:szCs w:val="28"/>
        </w:rPr>
        <w:t>ы</w:t>
      </w:r>
      <w:r w:rsidRPr="00E62615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0F25A8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E626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6261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62615">
        <w:rPr>
          <w:rFonts w:ascii="Times New Roman" w:hAnsi="Times New Roman" w:cs="Times New Roman"/>
          <w:b/>
          <w:sz w:val="28"/>
          <w:szCs w:val="28"/>
        </w:rPr>
        <w:t>5-9</w:t>
      </w:r>
    </w:p>
    <w:p w:rsidR="00DD74AE" w:rsidRPr="00E62615" w:rsidRDefault="00DD74AE" w:rsidP="00DD74AE">
      <w:pPr>
        <w:rPr>
          <w:rFonts w:ascii="Times New Roman" w:eastAsia="Calibri" w:hAnsi="Times New Roman" w:cs="Times New Roman"/>
          <w:sz w:val="28"/>
          <w:szCs w:val="28"/>
        </w:rPr>
      </w:pPr>
      <w:r w:rsidRPr="00E62615">
        <w:rPr>
          <w:rFonts w:ascii="Times New Roman" w:hAnsi="Times New Roman" w:cs="Times New Roman"/>
          <w:sz w:val="28"/>
          <w:szCs w:val="28"/>
        </w:rPr>
        <w:t xml:space="preserve">Количество испытуемых учащихся </w:t>
      </w:r>
      <w:r w:rsidRPr="00E62615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E62615">
        <w:rPr>
          <w:rFonts w:ascii="Times New Roman" w:eastAsia="Calibri" w:hAnsi="Times New Roman" w:cs="Times New Roman"/>
          <w:b/>
          <w:sz w:val="28"/>
          <w:szCs w:val="28"/>
        </w:rPr>
        <w:t xml:space="preserve">     26</w:t>
      </w:r>
    </w:p>
    <w:p w:rsidR="00DD74AE" w:rsidRPr="00E62615" w:rsidRDefault="00DD74AE" w:rsidP="00DD74AE">
      <w:pPr>
        <w:rPr>
          <w:rFonts w:ascii="Times New Roman" w:eastAsia="Calibri" w:hAnsi="Times New Roman" w:cs="Times New Roman"/>
          <w:sz w:val="28"/>
          <w:szCs w:val="28"/>
        </w:rPr>
      </w:pPr>
      <w:r w:rsidRPr="00E62615">
        <w:rPr>
          <w:rFonts w:ascii="Times New Roman" w:eastAsia="Calibri" w:hAnsi="Times New Roman" w:cs="Times New Roman"/>
          <w:sz w:val="28"/>
          <w:szCs w:val="28"/>
        </w:rPr>
        <w:t>Цель исследования</w:t>
      </w:r>
      <w:r w:rsidR="00456AB4">
        <w:rPr>
          <w:rFonts w:ascii="Times New Roman" w:eastAsia="Calibri" w:hAnsi="Times New Roman" w:cs="Times New Roman"/>
          <w:sz w:val="28"/>
          <w:szCs w:val="28"/>
        </w:rPr>
        <w:t xml:space="preserve">:  </w:t>
      </w:r>
      <w:r w:rsidRPr="00E62615">
        <w:rPr>
          <w:rFonts w:ascii="Times New Roman" w:eastAsia="Calibri" w:hAnsi="Times New Roman" w:cs="Times New Roman"/>
          <w:sz w:val="28"/>
          <w:szCs w:val="28"/>
        </w:rPr>
        <w:t xml:space="preserve">   определение уровня   учебной мотивации  на основе </w:t>
      </w:r>
      <w:r w:rsidRPr="00E62615">
        <w:rPr>
          <w:rFonts w:ascii="Times New Roman" w:hAnsi="Times New Roman" w:cs="Times New Roman"/>
          <w:sz w:val="28"/>
          <w:szCs w:val="28"/>
        </w:rPr>
        <w:t xml:space="preserve">анализа  </w:t>
      </w:r>
      <w:proofErr w:type="spellStart"/>
      <w:r w:rsidRPr="00E62615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E62615">
        <w:rPr>
          <w:rFonts w:ascii="Times New Roman" w:hAnsi="Times New Roman" w:cs="Times New Roman"/>
          <w:sz w:val="28"/>
          <w:szCs w:val="28"/>
        </w:rPr>
        <w:t xml:space="preserve">  учебных мотивов   </w:t>
      </w:r>
      <w:proofErr w:type="gramStart"/>
      <w:r w:rsidRPr="00E62615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E62615">
        <w:rPr>
          <w:rFonts w:ascii="Times New Roman" w:hAnsi="Times New Roman" w:cs="Times New Roman"/>
          <w:sz w:val="28"/>
          <w:szCs w:val="28"/>
        </w:rPr>
        <w:t xml:space="preserve"> обучающихся                                                        </w:t>
      </w:r>
    </w:p>
    <w:p w:rsidR="00DD74AE" w:rsidRPr="00E62615" w:rsidRDefault="00DD74AE" w:rsidP="00DD74AE">
      <w:pPr>
        <w:rPr>
          <w:rFonts w:ascii="Times New Roman" w:eastAsia="Calibri" w:hAnsi="Times New Roman" w:cs="Times New Roman"/>
          <w:sz w:val="28"/>
          <w:szCs w:val="28"/>
        </w:rPr>
      </w:pPr>
      <w:r w:rsidRPr="00E62615">
        <w:rPr>
          <w:rFonts w:ascii="Times New Roman" w:hAnsi="Times New Roman" w:cs="Times New Roman"/>
          <w:sz w:val="28"/>
          <w:szCs w:val="28"/>
        </w:rPr>
        <w:t xml:space="preserve"> </w:t>
      </w:r>
      <w:r w:rsidR="00456AB4">
        <w:rPr>
          <w:rFonts w:ascii="Times New Roman" w:eastAsia="Calibri" w:hAnsi="Times New Roman" w:cs="Times New Roman"/>
          <w:sz w:val="28"/>
          <w:szCs w:val="28"/>
        </w:rPr>
        <w:t xml:space="preserve">Используемая методика:   </w:t>
      </w:r>
      <w:r w:rsidRPr="00E62615">
        <w:rPr>
          <w:rFonts w:ascii="Times New Roman" w:hAnsi="Times New Roman" w:cs="Times New Roman"/>
          <w:sz w:val="28"/>
          <w:szCs w:val="28"/>
        </w:rPr>
        <w:t>Анкета Уфимцевой Л.П.</w:t>
      </w:r>
    </w:p>
    <w:p w:rsidR="00DD74AE" w:rsidRPr="00E62615" w:rsidRDefault="00DD74AE" w:rsidP="00DD74AE">
      <w:pPr>
        <w:rPr>
          <w:rFonts w:ascii="Times New Roman" w:eastAsia="Calibri" w:hAnsi="Times New Roman" w:cs="Times New Roman"/>
          <w:sz w:val="28"/>
          <w:szCs w:val="28"/>
        </w:rPr>
      </w:pPr>
      <w:r w:rsidRPr="00E62615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456AB4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Pr="00E626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6AB4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E62615">
        <w:rPr>
          <w:rFonts w:ascii="Times New Roman" w:eastAsia="Calibri" w:hAnsi="Times New Roman" w:cs="Times New Roman"/>
          <w:sz w:val="28"/>
          <w:szCs w:val="28"/>
        </w:rPr>
        <w:t>«Диагностика     мотивационной  сферы учащихся</w:t>
      </w:r>
      <w:r w:rsidRPr="00E62615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DD74AE" w:rsidRPr="00E62615" w:rsidRDefault="00DD74AE" w:rsidP="00DD74AE">
      <w:pPr>
        <w:rPr>
          <w:rFonts w:ascii="Times New Roman" w:eastAsia="Calibri" w:hAnsi="Times New Roman" w:cs="Times New Roman"/>
          <w:sz w:val="28"/>
          <w:szCs w:val="28"/>
        </w:rPr>
      </w:pPr>
      <w:r w:rsidRPr="00E62615">
        <w:rPr>
          <w:rFonts w:ascii="Times New Roman" w:eastAsia="Calibri" w:hAnsi="Times New Roman" w:cs="Times New Roman"/>
          <w:sz w:val="28"/>
          <w:szCs w:val="28"/>
        </w:rPr>
        <w:t>Дата проведения исследования</w:t>
      </w:r>
      <w:r w:rsidR="000F25A8">
        <w:rPr>
          <w:rFonts w:ascii="Times New Roman" w:eastAsia="Calibri" w:hAnsi="Times New Roman" w:cs="Times New Roman"/>
          <w:sz w:val="28"/>
          <w:szCs w:val="28"/>
        </w:rPr>
        <w:t>:</w:t>
      </w:r>
      <w:r w:rsidRPr="00E626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25A8">
        <w:rPr>
          <w:rFonts w:ascii="Times New Roman" w:hAnsi="Times New Roman" w:cs="Times New Roman"/>
          <w:sz w:val="28"/>
          <w:szCs w:val="28"/>
        </w:rPr>
        <w:t xml:space="preserve">    </w:t>
      </w:r>
      <w:r w:rsidRPr="00E62615">
        <w:rPr>
          <w:rFonts w:ascii="Times New Roman" w:hAnsi="Times New Roman" w:cs="Times New Roman"/>
          <w:sz w:val="28"/>
          <w:szCs w:val="28"/>
        </w:rPr>
        <w:t xml:space="preserve">  апрель 2021 </w:t>
      </w:r>
      <w:r w:rsidRPr="00E62615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E626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74AE" w:rsidRPr="00E62615" w:rsidRDefault="00456AB4" w:rsidP="00DD74AE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Проведение и интерпретация: </w:t>
      </w:r>
      <w:r w:rsidR="00DD74AE" w:rsidRPr="00E62615">
        <w:rPr>
          <w:rFonts w:ascii="Times New Roman" w:eastAsia="Calibri" w:hAnsi="Times New Roman" w:cs="Times New Roman"/>
          <w:sz w:val="28"/>
          <w:szCs w:val="28"/>
        </w:rPr>
        <w:t xml:space="preserve">        педагог-психолог </w:t>
      </w:r>
      <w:proofErr w:type="spellStart"/>
      <w:r w:rsidR="00DD74AE" w:rsidRPr="00E62615">
        <w:rPr>
          <w:rFonts w:ascii="Times New Roman" w:eastAsia="Calibri" w:hAnsi="Times New Roman" w:cs="Times New Roman"/>
          <w:sz w:val="28"/>
          <w:szCs w:val="28"/>
        </w:rPr>
        <w:t>Анцифорова</w:t>
      </w:r>
      <w:proofErr w:type="spellEnd"/>
      <w:r w:rsidR="00DD74AE" w:rsidRPr="00E62615">
        <w:rPr>
          <w:rFonts w:ascii="Times New Roman" w:eastAsia="Calibri" w:hAnsi="Times New Roman" w:cs="Times New Roman"/>
          <w:sz w:val="28"/>
          <w:szCs w:val="28"/>
        </w:rPr>
        <w:t xml:space="preserve"> Е.Н. </w:t>
      </w:r>
    </w:p>
    <w:p w:rsidR="00DD74AE" w:rsidRPr="00E62615" w:rsidRDefault="00DD74AE" w:rsidP="00DD74A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62615">
        <w:rPr>
          <w:rFonts w:ascii="Times New Roman" w:eastAsia="Calibri" w:hAnsi="Times New Roman" w:cs="Times New Roman"/>
          <w:sz w:val="28"/>
          <w:szCs w:val="28"/>
        </w:rPr>
        <w:t xml:space="preserve">Суть проводимой авторской  </w:t>
      </w:r>
      <w:proofErr w:type="gramStart"/>
      <w:r w:rsidRPr="00E62615">
        <w:rPr>
          <w:rFonts w:ascii="Times New Roman" w:eastAsia="Calibri" w:hAnsi="Times New Roman" w:cs="Times New Roman"/>
          <w:sz w:val="28"/>
          <w:szCs w:val="28"/>
        </w:rPr>
        <w:t>методики  доктора психологических наук кафедры педагогики</w:t>
      </w:r>
      <w:proofErr w:type="gramEnd"/>
      <w:r w:rsidRPr="00E62615">
        <w:rPr>
          <w:rFonts w:ascii="Times New Roman" w:eastAsia="Calibri" w:hAnsi="Times New Roman" w:cs="Times New Roman"/>
          <w:sz w:val="28"/>
          <w:szCs w:val="28"/>
        </w:rPr>
        <w:t xml:space="preserve"> КГПУ Уфимцевой Л П.. состоит  в анализе учебных мотивов у подростков.</w:t>
      </w:r>
    </w:p>
    <w:p w:rsidR="00DD74AE" w:rsidRPr="00E62615" w:rsidRDefault="00DD74AE" w:rsidP="00DD74A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62615">
        <w:rPr>
          <w:rFonts w:ascii="Times New Roman" w:eastAsia="Calibri" w:hAnsi="Times New Roman" w:cs="Times New Roman"/>
          <w:sz w:val="28"/>
          <w:szCs w:val="28"/>
        </w:rPr>
        <w:t xml:space="preserve">    Испытуемым предлагаются 11 утверждений, из которых  им следует выбрать не более трех суждений, которые для них являются наиболее значимыми.</w:t>
      </w:r>
    </w:p>
    <w:p w:rsidR="00DD74AE" w:rsidRPr="00E62615" w:rsidRDefault="00DD74AE" w:rsidP="00DD74AE">
      <w:pPr>
        <w:tabs>
          <w:tab w:val="left" w:pos="180"/>
        </w:tabs>
        <w:rPr>
          <w:rFonts w:ascii="Times New Roman" w:hAnsi="Times New Roman" w:cs="Times New Roman"/>
          <w:sz w:val="28"/>
          <w:szCs w:val="28"/>
        </w:rPr>
      </w:pPr>
      <w:r w:rsidRPr="00E62615">
        <w:rPr>
          <w:rFonts w:ascii="Times New Roman" w:hAnsi="Times New Roman" w:cs="Times New Roman"/>
          <w:sz w:val="28"/>
          <w:szCs w:val="28"/>
        </w:rPr>
        <w:t xml:space="preserve">Если  </w:t>
      </w:r>
      <w:proofErr w:type="gramStart"/>
      <w:r w:rsidRPr="00E62615">
        <w:rPr>
          <w:rFonts w:ascii="Times New Roman" w:hAnsi="Times New Roman" w:cs="Times New Roman"/>
          <w:sz w:val="28"/>
          <w:szCs w:val="28"/>
        </w:rPr>
        <w:t>тестируемый</w:t>
      </w:r>
      <w:proofErr w:type="gramEnd"/>
      <w:r w:rsidRPr="00E62615">
        <w:rPr>
          <w:rFonts w:ascii="Times New Roman" w:hAnsi="Times New Roman" w:cs="Times New Roman"/>
          <w:sz w:val="28"/>
          <w:szCs w:val="28"/>
        </w:rPr>
        <w:t xml:space="preserve">  выбирает  утверждения:   </w:t>
      </w:r>
    </w:p>
    <w:p w:rsidR="00DD74AE" w:rsidRPr="00E62615" w:rsidRDefault="00DD74AE" w:rsidP="00DD74A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62615">
        <w:rPr>
          <w:rFonts w:ascii="Times New Roman" w:hAnsi="Times New Roman" w:cs="Times New Roman"/>
          <w:sz w:val="28"/>
          <w:szCs w:val="28"/>
        </w:rPr>
        <w:t xml:space="preserve">      А)  </w:t>
      </w:r>
      <w:r w:rsidRPr="00E62615">
        <w:rPr>
          <w:rFonts w:ascii="Times New Roman" w:hAnsi="Times New Roman" w:cs="Times New Roman"/>
          <w:b/>
          <w:bCs/>
          <w:sz w:val="28"/>
          <w:szCs w:val="28"/>
        </w:rPr>
        <w:t>1; 7; 11</w:t>
      </w:r>
      <w:r w:rsidRPr="00E62615">
        <w:rPr>
          <w:rFonts w:ascii="Times New Roman" w:hAnsi="Times New Roman" w:cs="Times New Roman"/>
          <w:sz w:val="28"/>
          <w:szCs w:val="28"/>
        </w:rPr>
        <w:t xml:space="preserve"> – это  соответствует  </w:t>
      </w:r>
      <w:r w:rsidRPr="00E6261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познавательному  мотиву;    </w:t>
      </w:r>
    </w:p>
    <w:p w:rsidR="00DD74AE" w:rsidRPr="00E62615" w:rsidRDefault="00DD74AE" w:rsidP="00DD74AE">
      <w:pPr>
        <w:rPr>
          <w:rFonts w:ascii="Times New Roman" w:hAnsi="Times New Roman" w:cs="Times New Roman"/>
          <w:sz w:val="28"/>
          <w:szCs w:val="28"/>
        </w:rPr>
      </w:pPr>
      <w:r w:rsidRPr="00E6261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Pr="00E62615">
        <w:rPr>
          <w:rFonts w:ascii="Times New Roman" w:hAnsi="Times New Roman" w:cs="Times New Roman"/>
          <w:sz w:val="28"/>
          <w:szCs w:val="28"/>
        </w:rPr>
        <w:t xml:space="preserve">Б)   </w:t>
      </w:r>
      <w:r w:rsidRPr="00E6261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социальному   мотиву </w:t>
      </w:r>
      <w:r w:rsidRPr="00E62615">
        <w:rPr>
          <w:rFonts w:ascii="Times New Roman" w:hAnsi="Times New Roman" w:cs="Times New Roman"/>
          <w:sz w:val="28"/>
          <w:szCs w:val="28"/>
        </w:rPr>
        <w:t xml:space="preserve"> соответствуют  следующие  утверждения:</w:t>
      </w:r>
    </w:p>
    <w:p w:rsidR="00DD74AE" w:rsidRPr="00E62615" w:rsidRDefault="00DD74AE" w:rsidP="00DD74AE">
      <w:pPr>
        <w:rPr>
          <w:rFonts w:ascii="Times New Roman" w:hAnsi="Times New Roman" w:cs="Times New Roman"/>
          <w:sz w:val="28"/>
          <w:szCs w:val="28"/>
        </w:rPr>
      </w:pPr>
      <w:r w:rsidRPr="00E6261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а)  –  3; 4  – </w:t>
      </w:r>
      <w:r w:rsidRPr="00E62615">
        <w:rPr>
          <w:rFonts w:ascii="Times New Roman" w:hAnsi="Times New Roman" w:cs="Times New Roman"/>
          <w:sz w:val="28"/>
          <w:szCs w:val="28"/>
        </w:rPr>
        <w:t>широкий  социальный  мотив  (</w:t>
      </w:r>
      <w:proofErr w:type="gramStart"/>
      <w:r w:rsidRPr="00E62615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E62615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DD74AE" w:rsidRPr="00E62615" w:rsidRDefault="00DD74AE" w:rsidP="00DD74AE">
      <w:pPr>
        <w:rPr>
          <w:rFonts w:ascii="Times New Roman" w:hAnsi="Times New Roman" w:cs="Times New Roman"/>
          <w:sz w:val="28"/>
          <w:szCs w:val="28"/>
        </w:rPr>
      </w:pPr>
      <w:r w:rsidRPr="00E62615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E62615">
        <w:rPr>
          <w:rFonts w:ascii="Times New Roman" w:hAnsi="Times New Roman" w:cs="Times New Roman"/>
          <w:b/>
          <w:bCs/>
          <w:sz w:val="28"/>
          <w:szCs w:val="28"/>
        </w:rPr>
        <w:t>б)  –  6;10</w:t>
      </w:r>
      <w:r w:rsidRPr="00E62615">
        <w:rPr>
          <w:rFonts w:ascii="Times New Roman" w:hAnsi="Times New Roman" w:cs="Times New Roman"/>
          <w:sz w:val="28"/>
          <w:szCs w:val="28"/>
        </w:rPr>
        <w:t xml:space="preserve"> – узкий  социальный  мотив  (</w:t>
      </w:r>
      <w:proofErr w:type="gramStart"/>
      <w:r w:rsidRPr="00E62615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E62615">
        <w:rPr>
          <w:rFonts w:ascii="Times New Roman" w:hAnsi="Times New Roman" w:cs="Times New Roman"/>
          <w:sz w:val="28"/>
          <w:szCs w:val="28"/>
        </w:rPr>
        <w:t>);</w:t>
      </w:r>
    </w:p>
    <w:p w:rsidR="00DD74AE" w:rsidRPr="00E62615" w:rsidRDefault="00DD74AE" w:rsidP="00DD74AE">
      <w:pPr>
        <w:pStyle w:val="2"/>
        <w:rPr>
          <w:sz w:val="28"/>
          <w:szCs w:val="28"/>
        </w:rPr>
      </w:pPr>
      <w:r w:rsidRPr="00E62615">
        <w:rPr>
          <w:b/>
          <w:bCs/>
          <w:sz w:val="28"/>
          <w:szCs w:val="28"/>
        </w:rPr>
        <w:t xml:space="preserve">                                        в)  –  2</w:t>
      </w:r>
      <w:proofErr w:type="gramStart"/>
      <w:r w:rsidRPr="00E62615">
        <w:rPr>
          <w:b/>
          <w:bCs/>
          <w:sz w:val="28"/>
          <w:szCs w:val="28"/>
        </w:rPr>
        <w:t xml:space="preserve"> ;</w:t>
      </w:r>
      <w:proofErr w:type="gramEnd"/>
      <w:r w:rsidRPr="00E62615">
        <w:rPr>
          <w:b/>
          <w:bCs/>
          <w:sz w:val="28"/>
          <w:szCs w:val="28"/>
        </w:rPr>
        <w:t xml:space="preserve"> 9 –</w:t>
      </w:r>
      <w:r w:rsidRPr="00E62615">
        <w:rPr>
          <w:sz w:val="28"/>
          <w:szCs w:val="28"/>
        </w:rPr>
        <w:t xml:space="preserve"> избегание   неприятностей;</w:t>
      </w:r>
    </w:p>
    <w:p w:rsidR="00456AB4" w:rsidRDefault="00DD74AE" w:rsidP="00456AB4">
      <w:pPr>
        <w:tabs>
          <w:tab w:val="left" w:pos="2880"/>
        </w:tabs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E6261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г)  –  5</w:t>
      </w:r>
      <w:proofErr w:type="gramStart"/>
      <w:r w:rsidRPr="00E62615">
        <w:rPr>
          <w:rFonts w:ascii="Times New Roman" w:hAnsi="Times New Roman" w:cs="Times New Roman"/>
          <w:b/>
          <w:bCs/>
          <w:sz w:val="28"/>
          <w:szCs w:val="28"/>
        </w:rPr>
        <w:t xml:space="preserve"> ;</w:t>
      </w:r>
      <w:proofErr w:type="gramEnd"/>
      <w:r w:rsidRPr="00E62615">
        <w:rPr>
          <w:rFonts w:ascii="Times New Roman" w:hAnsi="Times New Roman" w:cs="Times New Roman"/>
          <w:b/>
          <w:bCs/>
          <w:sz w:val="28"/>
          <w:szCs w:val="28"/>
        </w:rPr>
        <w:t xml:space="preserve"> 8</w:t>
      </w:r>
      <w:r w:rsidRPr="00E62615">
        <w:rPr>
          <w:rFonts w:ascii="Times New Roman" w:hAnsi="Times New Roman" w:cs="Times New Roman"/>
          <w:sz w:val="28"/>
          <w:szCs w:val="28"/>
        </w:rPr>
        <w:t xml:space="preserve"> – ориентация   на  одобрение.  </w:t>
      </w:r>
    </w:p>
    <w:p w:rsidR="00DD74AE" w:rsidRPr="00E62615" w:rsidRDefault="00DD74AE" w:rsidP="00456AB4">
      <w:pPr>
        <w:tabs>
          <w:tab w:val="left" w:pos="288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615">
        <w:rPr>
          <w:rFonts w:ascii="Times New Roman" w:hAnsi="Times New Roman" w:cs="Times New Roman"/>
          <w:bCs/>
          <w:iCs/>
          <w:sz w:val="28"/>
          <w:szCs w:val="28"/>
        </w:rPr>
        <w:t>Общий  вывод  о  формировании  учебной  мотивации</w:t>
      </w:r>
      <w:r w:rsidRPr="00E62615">
        <w:rPr>
          <w:rFonts w:ascii="Times New Roman" w:hAnsi="Times New Roman" w:cs="Times New Roman"/>
          <w:sz w:val="28"/>
          <w:szCs w:val="28"/>
        </w:rPr>
        <w:t xml:space="preserve">  делается  на  основе анализа </w:t>
      </w:r>
      <w:proofErr w:type="spellStart"/>
      <w:r w:rsidRPr="00E62615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E62615">
        <w:rPr>
          <w:rFonts w:ascii="Times New Roman" w:hAnsi="Times New Roman" w:cs="Times New Roman"/>
          <w:sz w:val="28"/>
          <w:szCs w:val="28"/>
        </w:rPr>
        <w:t xml:space="preserve">  учебных  мотивов: познавательных, </w:t>
      </w:r>
      <w:r w:rsidRPr="00E6261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62615">
        <w:rPr>
          <w:rFonts w:ascii="Times New Roman" w:hAnsi="Times New Roman" w:cs="Times New Roman"/>
          <w:sz w:val="28"/>
          <w:szCs w:val="28"/>
        </w:rPr>
        <w:t>социальных широких и узких  и   мотивов</w:t>
      </w:r>
      <w:r w:rsidRPr="00E626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2615">
        <w:rPr>
          <w:rFonts w:ascii="Times New Roman" w:hAnsi="Times New Roman" w:cs="Times New Roman"/>
          <w:sz w:val="28"/>
          <w:szCs w:val="28"/>
        </w:rPr>
        <w:t>избегания и ориентации на одобрение.</w:t>
      </w:r>
    </w:p>
    <w:p w:rsidR="00DD74AE" w:rsidRPr="00E62615" w:rsidRDefault="00DD74AE" w:rsidP="00DD74AE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 w:rsidRPr="00E626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Высокий  уровень:</w:t>
      </w:r>
      <w:r w:rsidRPr="00E62615">
        <w:rPr>
          <w:rFonts w:ascii="Times New Roman" w:hAnsi="Times New Roman" w:cs="Times New Roman"/>
          <w:sz w:val="28"/>
          <w:szCs w:val="28"/>
        </w:rPr>
        <w:t xml:space="preserve">     преобладание  познавательных  мотивов  учения.</w:t>
      </w:r>
    </w:p>
    <w:p w:rsidR="00DD74AE" w:rsidRPr="00E62615" w:rsidRDefault="00DD74AE" w:rsidP="00DD74AE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 w:rsidRPr="00E6261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Средний  уровень:  </w:t>
      </w:r>
      <w:r w:rsidRPr="00E62615">
        <w:rPr>
          <w:rFonts w:ascii="Times New Roman" w:hAnsi="Times New Roman" w:cs="Times New Roman"/>
          <w:sz w:val="28"/>
          <w:szCs w:val="28"/>
        </w:rPr>
        <w:t xml:space="preserve">    преобладание  широких социальных  мотивов учения. </w:t>
      </w:r>
    </w:p>
    <w:p w:rsidR="00456AB4" w:rsidRDefault="00DD74AE" w:rsidP="00DD74AE">
      <w:pPr>
        <w:tabs>
          <w:tab w:val="left" w:pos="2340"/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 w:rsidRPr="00E6261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Низкий  уровень: </w:t>
      </w:r>
      <w:r w:rsidRPr="00E62615">
        <w:rPr>
          <w:rFonts w:ascii="Times New Roman" w:hAnsi="Times New Roman" w:cs="Times New Roman"/>
          <w:sz w:val="28"/>
          <w:szCs w:val="28"/>
        </w:rPr>
        <w:t xml:space="preserve">        преобладание  узких социальных  мотивов  учения, мотивов избегания и ориентации на одобрение.</w:t>
      </w:r>
    </w:p>
    <w:p w:rsidR="00DD74AE" w:rsidRPr="00E62615" w:rsidRDefault="00DD74AE" w:rsidP="00DD74AE">
      <w:pPr>
        <w:tabs>
          <w:tab w:val="left" w:pos="2340"/>
          <w:tab w:val="left" w:pos="2880"/>
        </w:tabs>
        <w:rPr>
          <w:rFonts w:ascii="Times New Roman" w:eastAsia="Calibri" w:hAnsi="Times New Roman" w:cs="Times New Roman"/>
          <w:b/>
          <w:sz w:val="28"/>
          <w:szCs w:val="28"/>
        </w:rPr>
      </w:pPr>
      <w:r w:rsidRPr="00E62615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</w:p>
    <w:p w:rsidR="00DD74AE" w:rsidRPr="00E62615" w:rsidRDefault="00DD74AE" w:rsidP="00DD74A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2615">
        <w:rPr>
          <w:rFonts w:ascii="Times New Roman" w:eastAsia="Calibri" w:hAnsi="Times New Roman" w:cs="Times New Roman"/>
          <w:b/>
          <w:sz w:val="28"/>
          <w:szCs w:val="28"/>
        </w:rPr>
        <w:t>Итоги анкетирования по  состоянию учебной мотивации в 5 классе:</w:t>
      </w:r>
    </w:p>
    <w:p w:rsidR="00DD74AE" w:rsidRPr="00E62615" w:rsidRDefault="00DD74AE" w:rsidP="00DD74AE">
      <w:pPr>
        <w:rPr>
          <w:rFonts w:ascii="Times New Roman" w:eastAsia="Calibri" w:hAnsi="Times New Roman" w:cs="Times New Roman"/>
          <w:sz w:val="28"/>
          <w:szCs w:val="28"/>
        </w:rPr>
      </w:pPr>
      <w:r w:rsidRPr="00E62615">
        <w:rPr>
          <w:rFonts w:ascii="Times New Roman" w:eastAsia="Calibri" w:hAnsi="Times New Roman" w:cs="Times New Roman"/>
          <w:sz w:val="28"/>
          <w:szCs w:val="28"/>
        </w:rPr>
        <w:t>Из 6 подростков класса показали высокий уровень мотивации 1человек (17%); средний уровень наблюдается у 4 (66%) подростков и низкий уровень мотивации у 1</w:t>
      </w:r>
      <w:r w:rsidR="003B3516" w:rsidRPr="00E626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62615">
        <w:rPr>
          <w:rFonts w:ascii="Times New Roman" w:eastAsia="Calibri" w:hAnsi="Times New Roman" w:cs="Times New Roman"/>
          <w:sz w:val="28"/>
          <w:szCs w:val="28"/>
        </w:rPr>
        <w:t xml:space="preserve">(17%) учащихся. </w:t>
      </w:r>
    </w:p>
    <w:p w:rsidR="00DD74AE" w:rsidRPr="00E62615" w:rsidRDefault="00DD74AE" w:rsidP="00DD74A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2615">
        <w:rPr>
          <w:rFonts w:ascii="Times New Roman" w:eastAsia="Calibri" w:hAnsi="Times New Roman" w:cs="Times New Roman"/>
          <w:b/>
          <w:sz w:val="28"/>
          <w:szCs w:val="28"/>
        </w:rPr>
        <w:t>Итоги анкетирования по  состоянию учебной мотивации в 6 классе:</w:t>
      </w:r>
    </w:p>
    <w:p w:rsidR="00DD74AE" w:rsidRPr="00E62615" w:rsidRDefault="00DD74AE" w:rsidP="00DD74AE">
      <w:pPr>
        <w:rPr>
          <w:rFonts w:ascii="Times New Roman" w:hAnsi="Times New Roman" w:cs="Times New Roman"/>
          <w:sz w:val="28"/>
          <w:szCs w:val="28"/>
        </w:rPr>
      </w:pPr>
      <w:r w:rsidRPr="00E62615">
        <w:rPr>
          <w:rFonts w:ascii="Times New Roman" w:hAnsi="Times New Roman" w:cs="Times New Roman"/>
          <w:sz w:val="28"/>
          <w:szCs w:val="28"/>
        </w:rPr>
        <w:t>Из 6 опрошенных подростков</w:t>
      </w:r>
      <w:r w:rsidRPr="00E62615">
        <w:rPr>
          <w:rFonts w:ascii="Times New Roman" w:eastAsia="Calibri" w:hAnsi="Times New Roman" w:cs="Times New Roman"/>
          <w:sz w:val="28"/>
          <w:szCs w:val="28"/>
        </w:rPr>
        <w:t xml:space="preserve"> показали высокий уровень мотивации 0 человек (0%); </w:t>
      </w:r>
      <w:r w:rsidRPr="00E62615">
        <w:rPr>
          <w:rFonts w:ascii="Times New Roman" w:hAnsi="Times New Roman" w:cs="Times New Roman"/>
          <w:sz w:val="28"/>
          <w:szCs w:val="28"/>
        </w:rPr>
        <w:t xml:space="preserve"> 6 человек  (100%) показали средний уровень мотивации, у 0 учащихся (0%) низкий уровень  мотивации</w:t>
      </w:r>
    </w:p>
    <w:p w:rsidR="00DD74AE" w:rsidRPr="00E62615" w:rsidRDefault="00DD74AE" w:rsidP="00DD74A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2615">
        <w:rPr>
          <w:rFonts w:ascii="Times New Roman" w:eastAsia="Calibri" w:hAnsi="Times New Roman" w:cs="Times New Roman"/>
          <w:b/>
          <w:sz w:val="28"/>
          <w:szCs w:val="28"/>
        </w:rPr>
        <w:t>Итоги анкетирования по  состоянию учебной мотивации в 7 классе:</w:t>
      </w:r>
    </w:p>
    <w:p w:rsidR="00DD74AE" w:rsidRPr="00E62615" w:rsidRDefault="00DD74AE" w:rsidP="00DD74AE">
      <w:pPr>
        <w:rPr>
          <w:rFonts w:ascii="Times New Roman" w:hAnsi="Times New Roman" w:cs="Times New Roman"/>
          <w:sz w:val="28"/>
          <w:szCs w:val="28"/>
        </w:rPr>
      </w:pPr>
      <w:r w:rsidRPr="00E62615">
        <w:rPr>
          <w:rFonts w:ascii="Times New Roman" w:hAnsi="Times New Roman" w:cs="Times New Roman"/>
          <w:sz w:val="28"/>
          <w:szCs w:val="28"/>
        </w:rPr>
        <w:t>Из 4 учащихся 0 (0%) показали высокий уровень мотивации, у 4 подростков средний уровень (100%), низкий уровень – 0 (0%).</w:t>
      </w:r>
    </w:p>
    <w:p w:rsidR="00DD74AE" w:rsidRPr="00E62615" w:rsidRDefault="00DD74AE" w:rsidP="00DD74A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2615">
        <w:rPr>
          <w:rFonts w:ascii="Times New Roman" w:eastAsia="Calibri" w:hAnsi="Times New Roman" w:cs="Times New Roman"/>
          <w:b/>
          <w:sz w:val="28"/>
          <w:szCs w:val="28"/>
        </w:rPr>
        <w:t xml:space="preserve">Итоги анкетирования по  состоянию учебной мотивации в </w:t>
      </w:r>
      <w:r w:rsidR="003B3516" w:rsidRPr="00E62615">
        <w:rPr>
          <w:rFonts w:ascii="Times New Roman" w:eastAsia="Calibri" w:hAnsi="Times New Roman" w:cs="Times New Roman"/>
          <w:b/>
          <w:sz w:val="28"/>
          <w:szCs w:val="28"/>
        </w:rPr>
        <w:t xml:space="preserve">8 </w:t>
      </w:r>
      <w:r w:rsidRPr="00E62615">
        <w:rPr>
          <w:rFonts w:ascii="Times New Roman" w:eastAsia="Calibri" w:hAnsi="Times New Roman" w:cs="Times New Roman"/>
          <w:b/>
          <w:sz w:val="28"/>
          <w:szCs w:val="28"/>
        </w:rPr>
        <w:t xml:space="preserve"> классе:</w:t>
      </w:r>
    </w:p>
    <w:p w:rsidR="00DD74AE" w:rsidRPr="00E62615" w:rsidRDefault="00DD74AE" w:rsidP="00DD74AE">
      <w:pPr>
        <w:rPr>
          <w:rFonts w:ascii="Times New Roman" w:hAnsi="Times New Roman" w:cs="Times New Roman"/>
          <w:sz w:val="28"/>
          <w:szCs w:val="28"/>
        </w:rPr>
      </w:pPr>
      <w:r w:rsidRPr="00E62615">
        <w:rPr>
          <w:rFonts w:ascii="Times New Roman" w:hAnsi="Times New Roman" w:cs="Times New Roman"/>
          <w:sz w:val="28"/>
          <w:szCs w:val="28"/>
        </w:rPr>
        <w:t>Из 5 опрошенных подростков 0 человек  (0%) показали высокий уровень мотивации, средний уровень мотивации у 3 учащихся (60%), низкий уровень  у 2 детей (40%)</w:t>
      </w:r>
    </w:p>
    <w:p w:rsidR="00DD74AE" w:rsidRPr="00E62615" w:rsidRDefault="00DD74AE" w:rsidP="00DD74A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2615">
        <w:rPr>
          <w:rFonts w:ascii="Times New Roman" w:eastAsia="Calibri" w:hAnsi="Times New Roman" w:cs="Times New Roman"/>
          <w:b/>
          <w:sz w:val="28"/>
          <w:szCs w:val="28"/>
        </w:rPr>
        <w:t>Итоги анкетирования по  состоянию учебной мотивации в 9 выпускном классе:</w:t>
      </w:r>
    </w:p>
    <w:p w:rsidR="003B3516" w:rsidRDefault="00DD74AE" w:rsidP="00DD74AE">
      <w:pPr>
        <w:rPr>
          <w:rFonts w:ascii="Times New Roman" w:hAnsi="Times New Roman" w:cs="Times New Roman"/>
          <w:sz w:val="28"/>
          <w:szCs w:val="28"/>
        </w:rPr>
      </w:pPr>
      <w:r w:rsidRPr="00E62615">
        <w:rPr>
          <w:rFonts w:ascii="Times New Roman" w:hAnsi="Times New Roman" w:cs="Times New Roman"/>
          <w:sz w:val="28"/>
          <w:szCs w:val="28"/>
        </w:rPr>
        <w:t xml:space="preserve">Из </w:t>
      </w:r>
      <w:r w:rsidR="003B3516" w:rsidRPr="00E62615">
        <w:rPr>
          <w:rFonts w:ascii="Times New Roman" w:hAnsi="Times New Roman" w:cs="Times New Roman"/>
          <w:sz w:val="28"/>
          <w:szCs w:val="28"/>
        </w:rPr>
        <w:t>5</w:t>
      </w:r>
      <w:r w:rsidRPr="00E62615">
        <w:rPr>
          <w:rFonts w:ascii="Times New Roman" w:hAnsi="Times New Roman" w:cs="Times New Roman"/>
          <w:sz w:val="28"/>
          <w:szCs w:val="28"/>
        </w:rPr>
        <w:t xml:space="preserve"> учащихся </w:t>
      </w:r>
      <w:r w:rsidR="003B3516" w:rsidRPr="00E62615">
        <w:rPr>
          <w:rFonts w:ascii="Times New Roman" w:hAnsi="Times New Roman" w:cs="Times New Roman"/>
          <w:sz w:val="28"/>
          <w:szCs w:val="28"/>
        </w:rPr>
        <w:t>0 (0</w:t>
      </w:r>
      <w:r w:rsidRPr="00E62615">
        <w:rPr>
          <w:rFonts w:ascii="Times New Roman" w:hAnsi="Times New Roman" w:cs="Times New Roman"/>
          <w:sz w:val="28"/>
          <w:szCs w:val="28"/>
        </w:rPr>
        <w:t>%) показали высокий уровень мотива</w:t>
      </w:r>
      <w:r w:rsidR="003B3516" w:rsidRPr="00E62615">
        <w:rPr>
          <w:rFonts w:ascii="Times New Roman" w:hAnsi="Times New Roman" w:cs="Times New Roman"/>
          <w:sz w:val="28"/>
          <w:szCs w:val="28"/>
        </w:rPr>
        <w:t xml:space="preserve">ции, у3 </w:t>
      </w:r>
      <w:r w:rsidRPr="00E62615">
        <w:rPr>
          <w:rFonts w:ascii="Times New Roman" w:hAnsi="Times New Roman" w:cs="Times New Roman"/>
          <w:sz w:val="28"/>
          <w:szCs w:val="28"/>
        </w:rPr>
        <w:t xml:space="preserve"> подростков (</w:t>
      </w:r>
      <w:r w:rsidR="003B3516" w:rsidRPr="00E62615">
        <w:rPr>
          <w:rFonts w:ascii="Times New Roman" w:hAnsi="Times New Roman" w:cs="Times New Roman"/>
          <w:sz w:val="28"/>
          <w:szCs w:val="28"/>
        </w:rPr>
        <w:t>6</w:t>
      </w:r>
      <w:r w:rsidRPr="00E62615">
        <w:rPr>
          <w:rFonts w:ascii="Times New Roman" w:hAnsi="Times New Roman" w:cs="Times New Roman"/>
          <w:sz w:val="28"/>
          <w:szCs w:val="28"/>
        </w:rPr>
        <w:t>0%) средний уровень, низкий уровень – 2 (</w:t>
      </w:r>
      <w:r w:rsidR="003B3516" w:rsidRPr="00E62615">
        <w:rPr>
          <w:rFonts w:ascii="Times New Roman" w:hAnsi="Times New Roman" w:cs="Times New Roman"/>
          <w:sz w:val="28"/>
          <w:szCs w:val="28"/>
        </w:rPr>
        <w:t>40</w:t>
      </w:r>
      <w:r w:rsidRPr="00E62615">
        <w:rPr>
          <w:rFonts w:ascii="Times New Roman" w:hAnsi="Times New Roman" w:cs="Times New Roman"/>
          <w:sz w:val="28"/>
          <w:szCs w:val="28"/>
        </w:rPr>
        <w:t>%).</w:t>
      </w:r>
    </w:p>
    <w:p w:rsidR="00E62615" w:rsidRDefault="00E62615" w:rsidP="00DD74AE">
      <w:pPr>
        <w:rPr>
          <w:rFonts w:ascii="Times New Roman" w:hAnsi="Times New Roman" w:cs="Times New Roman"/>
          <w:sz w:val="28"/>
          <w:szCs w:val="28"/>
        </w:rPr>
      </w:pPr>
    </w:p>
    <w:p w:rsidR="00E62615" w:rsidRDefault="00E62615" w:rsidP="00DD74AE">
      <w:pPr>
        <w:rPr>
          <w:rFonts w:ascii="Times New Roman" w:hAnsi="Times New Roman" w:cs="Times New Roman"/>
          <w:sz w:val="28"/>
          <w:szCs w:val="28"/>
        </w:rPr>
      </w:pPr>
    </w:p>
    <w:p w:rsidR="00E62615" w:rsidRDefault="00E62615" w:rsidP="00DD74AE">
      <w:pPr>
        <w:rPr>
          <w:rFonts w:ascii="Times New Roman" w:hAnsi="Times New Roman" w:cs="Times New Roman"/>
          <w:sz w:val="28"/>
          <w:szCs w:val="28"/>
        </w:rPr>
      </w:pPr>
    </w:p>
    <w:p w:rsidR="00E62615" w:rsidRDefault="00E62615" w:rsidP="00DD74AE">
      <w:pPr>
        <w:rPr>
          <w:rFonts w:ascii="Times New Roman" w:hAnsi="Times New Roman" w:cs="Times New Roman"/>
          <w:sz w:val="28"/>
          <w:szCs w:val="28"/>
        </w:rPr>
      </w:pPr>
    </w:p>
    <w:p w:rsidR="00456AB4" w:rsidRDefault="00456AB4" w:rsidP="00DD74AE">
      <w:pPr>
        <w:rPr>
          <w:rFonts w:ascii="Times New Roman" w:hAnsi="Times New Roman" w:cs="Times New Roman"/>
          <w:sz w:val="28"/>
          <w:szCs w:val="28"/>
        </w:rPr>
      </w:pPr>
    </w:p>
    <w:p w:rsidR="00456AB4" w:rsidRDefault="00456AB4" w:rsidP="00DD74AE">
      <w:pPr>
        <w:rPr>
          <w:rFonts w:ascii="Times New Roman" w:hAnsi="Times New Roman" w:cs="Times New Roman"/>
          <w:sz w:val="28"/>
          <w:szCs w:val="28"/>
        </w:rPr>
      </w:pPr>
    </w:p>
    <w:p w:rsidR="00456AB4" w:rsidRDefault="00456AB4" w:rsidP="00DD74AE">
      <w:pPr>
        <w:rPr>
          <w:rFonts w:ascii="Times New Roman" w:hAnsi="Times New Roman" w:cs="Times New Roman"/>
          <w:sz w:val="28"/>
          <w:szCs w:val="28"/>
        </w:rPr>
      </w:pPr>
    </w:p>
    <w:p w:rsidR="00456AB4" w:rsidRDefault="00456AB4" w:rsidP="00DD74AE">
      <w:pPr>
        <w:rPr>
          <w:rFonts w:ascii="Times New Roman" w:hAnsi="Times New Roman" w:cs="Times New Roman"/>
          <w:sz w:val="28"/>
          <w:szCs w:val="28"/>
        </w:rPr>
      </w:pPr>
    </w:p>
    <w:p w:rsidR="00456AB4" w:rsidRDefault="00456AB4" w:rsidP="00DD74AE">
      <w:pPr>
        <w:rPr>
          <w:rFonts w:ascii="Times New Roman" w:hAnsi="Times New Roman" w:cs="Times New Roman"/>
          <w:sz w:val="28"/>
          <w:szCs w:val="28"/>
        </w:rPr>
      </w:pPr>
    </w:p>
    <w:p w:rsidR="00456AB4" w:rsidRDefault="00456AB4" w:rsidP="00DD74AE">
      <w:pPr>
        <w:rPr>
          <w:rFonts w:ascii="Times New Roman" w:hAnsi="Times New Roman" w:cs="Times New Roman"/>
          <w:sz w:val="28"/>
          <w:szCs w:val="28"/>
        </w:rPr>
      </w:pPr>
    </w:p>
    <w:p w:rsidR="00456AB4" w:rsidRDefault="00456AB4" w:rsidP="00DD74AE">
      <w:pPr>
        <w:rPr>
          <w:rFonts w:ascii="Times New Roman" w:hAnsi="Times New Roman" w:cs="Times New Roman"/>
          <w:sz w:val="28"/>
          <w:szCs w:val="28"/>
        </w:rPr>
      </w:pPr>
    </w:p>
    <w:p w:rsidR="00456AB4" w:rsidRPr="00E62615" w:rsidRDefault="00456AB4" w:rsidP="00DD74AE">
      <w:pPr>
        <w:rPr>
          <w:rFonts w:ascii="Times New Roman" w:hAnsi="Times New Roman" w:cs="Times New Roman"/>
          <w:sz w:val="28"/>
          <w:szCs w:val="28"/>
        </w:rPr>
      </w:pPr>
    </w:p>
    <w:p w:rsidR="003B3516" w:rsidRPr="00E62615" w:rsidRDefault="003B3516" w:rsidP="003B35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61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Актуальное  состояние учебной мотивации </w:t>
      </w:r>
      <w:proofErr w:type="gramStart"/>
      <w:r w:rsidRPr="00E62615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E6261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3516" w:rsidRPr="00E62615" w:rsidRDefault="003B3516" w:rsidP="003B3516">
      <w:pPr>
        <w:jc w:val="center"/>
        <w:rPr>
          <w:rFonts w:ascii="Times New Roman" w:hAnsi="Times New Roman" w:cs="Times New Roman"/>
          <w:sz w:val="28"/>
          <w:szCs w:val="28"/>
        </w:rPr>
      </w:pPr>
      <w:r w:rsidRPr="00E62615">
        <w:rPr>
          <w:rFonts w:ascii="Times New Roman" w:hAnsi="Times New Roman" w:cs="Times New Roman"/>
          <w:b/>
          <w:sz w:val="28"/>
          <w:szCs w:val="28"/>
        </w:rPr>
        <w:t>5-9 классов на апрель2021 года</w:t>
      </w:r>
    </w:p>
    <w:p w:rsidR="00DC1F8F" w:rsidRDefault="00E62615">
      <w:pPr>
        <w:rPr>
          <w:rFonts w:ascii="Times New Roman" w:hAnsi="Times New Roman" w:cs="Times New Roman"/>
          <w:sz w:val="28"/>
          <w:szCs w:val="28"/>
        </w:rPr>
      </w:pPr>
      <w:r w:rsidRPr="00E62615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39" style="position:absolute;margin-left:394.2pt;margin-top:263pt;width:63pt;height:25.5pt;z-index:251661312" arcsize="10923f">
            <v:textbox>
              <w:txbxContent>
                <w:p w:rsidR="00E62615" w:rsidRDefault="00E62615">
                  <w:r>
                    <w:t>9 класс</w:t>
                  </w:r>
                </w:p>
              </w:txbxContent>
            </v:textbox>
          </v:roundrect>
        </w:pict>
      </w:r>
      <w:r w:rsidR="003B3516" w:rsidRPr="003B3516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781675" cy="3638550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E62615" w:rsidRDefault="00E62615">
      <w:pPr>
        <w:rPr>
          <w:rFonts w:ascii="Times New Roman" w:hAnsi="Times New Roman" w:cs="Times New Roman"/>
          <w:sz w:val="28"/>
          <w:szCs w:val="28"/>
        </w:rPr>
      </w:pPr>
      <w:r w:rsidRPr="00E62615">
        <w:rPr>
          <w:rFonts w:ascii="Times New Roman" w:hAnsi="Times New Roman" w:cs="Times New Roman"/>
          <w:noProof/>
          <w:color w:val="943634" w:themeColor="accent2" w:themeShade="BF"/>
          <w:sz w:val="28"/>
          <w:szCs w:val="28"/>
          <w:lang w:eastAsia="ru-RU"/>
        </w:rPr>
        <w:pict>
          <v:rect id="_x0000_s1035" style="position:absolute;margin-left:-2.55pt;margin-top:1.6pt;width:15pt;height:12pt;z-index:251658240" fillcolor="#c0504d [3205]" strokecolor="#f2f2f2 [3041]" strokeweight="3pt">
            <v:shadow on="t" type="perspective" color="#622423 [1605]" opacity=".5" offset="1pt" offset2="-1pt"/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6" style="position:absolute;margin-left:-2.55pt;margin-top:27.1pt;width:15pt;height:12.75pt;z-index:251659264" fillcolor="#4f81bd [3204]" strokecolor="#f2f2f2 [3041]" strokeweight="3pt">
            <v:shadow on="t" type="perspective" color="#243f60 [1604]" opacity=".5" offset="1pt" offset2="-1pt"/>
          </v:rect>
        </w:pict>
      </w:r>
      <w:r>
        <w:rPr>
          <w:rFonts w:ascii="Times New Roman" w:hAnsi="Times New Roman" w:cs="Times New Roman"/>
          <w:sz w:val="28"/>
          <w:szCs w:val="28"/>
        </w:rPr>
        <w:t xml:space="preserve">       Высокий уровень</w:t>
      </w:r>
    </w:p>
    <w:p w:rsidR="00E62615" w:rsidRDefault="00E626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7" style="position:absolute;margin-left:-2.55pt;margin-top:27.1pt;width:15pt;height:12.75pt;z-index:251660288" fillcolor="#f79646 [3209]" strokecolor="#f2f2f2 [3041]" strokeweight="3pt">
            <v:shadow on="t" type="perspective" color="#974706 [1609]" opacity=".5" offset="1pt" offset2="-1pt"/>
          </v:rect>
        </w:pict>
      </w:r>
      <w:r>
        <w:rPr>
          <w:rFonts w:ascii="Times New Roman" w:hAnsi="Times New Roman" w:cs="Times New Roman"/>
          <w:sz w:val="28"/>
          <w:szCs w:val="28"/>
        </w:rPr>
        <w:t xml:space="preserve">        Средний уровень</w:t>
      </w:r>
    </w:p>
    <w:p w:rsidR="00E62615" w:rsidRDefault="00E626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Низкий уровень</w:t>
      </w:r>
    </w:p>
    <w:p w:rsidR="00E62615" w:rsidRPr="00456AB4" w:rsidRDefault="00E62615" w:rsidP="000F25A8">
      <w:pPr>
        <w:jc w:val="both"/>
        <w:rPr>
          <w:rFonts w:ascii="Times New Roman" w:hAnsi="Times New Roman" w:cs="Times New Roman"/>
          <w:sz w:val="28"/>
          <w:szCs w:val="28"/>
        </w:rPr>
      </w:pPr>
      <w:r w:rsidRPr="00456AB4">
        <w:rPr>
          <w:rFonts w:ascii="Times New Roman" w:hAnsi="Times New Roman" w:cs="Times New Roman"/>
          <w:sz w:val="28"/>
          <w:szCs w:val="28"/>
        </w:rPr>
        <w:t xml:space="preserve">Выводы по итогам анкетирования: как видим из графика,  наблюдается устойчивая тенденция  роста </w:t>
      </w:r>
      <w:r w:rsidR="00456AB4" w:rsidRPr="00456AB4">
        <w:rPr>
          <w:rFonts w:ascii="Times New Roman" w:hAnsi="Times New Roman" w:cs="Times New Roman"/>
          <w:sz w:val="28"/>
          <w:szCs w:val="28"/>
        </w:rPr>
        <w:t>среднего</w:t>
      </w:r>
      <w:r w:rsidRPr="00456AB4">
        <w:rPr>
          <w:rFonts w:ascii="Times New Roman" w:hAnsi="Times New Roman" w:cs="Times New Roman"/>
          <w:sz w:val="28"/>
          <w:szCs w:val="28"/>
        </w:rPr>
        <w:t xml:space="preserve"> уровня мотивации у подростков от 5 класса к 7 классов. Их привлекает  сам процесс познания. На уроках, пусть не всех, им интересно. Больше половины детей </w:t>
      </w:r>
      <w:proofErr w:type="gramStart"/>
      <w:r w:rsidRPr="00456AB4">
        <w:rPr>
          <w:rFonts w:ascii="Times New Roman" w:hAnsi="Times New Roman" w:cs="Times New Roman"/>
          <w:sz w:val="28"/>
          <w:szCs w:val="28"/>
        </w:rPr>
        <w:t>все таки</w:t>
      </w:r>
      <w:proofErr w:type="gramEnd"/>
      <w:r w:rsidRPr="00456AB4">
        <w:rPr>
          <w:rFonts w:ascii="Times New Roman" w:hAnsi="Times New Roman" w:cs="Times New Roman"/>
          <w:sz w:val="28"/>
          <w:szCs w:val="28"/>
        </w:rPr>
        <w:t xml:space="preserve"> учатся (по итогам анкетирования) на одобрение 15 детей (57 %).</w:t>
      </w:r>
    </w:p>
    <w:p w:rsidR="00456AB4" w:rsidRPr="00456AB4" w:rsidRDefault="00456AB4" w:rsidP="000F25A8">
      <w:pPr>
        <w:jc w:val="both"/>
        <w:rPr>
          <w:rFonts w:ascii="Times New Roman" w:hAnsi="Times New Roman" w:cs="Times New Roman"/>
          <w:sz w:val="28"/>
          <w:szCs w:val="28"/>
        </w:rPr>
      </w:pPr>
      <w:r w:rsidRPr="00456AB4">
        <w:rPr>
          <w:rFonts w:ascii="Times New Roman" w:hAnsi="Times New Roman" w:cs="Times New Roman"/>
          <w:sz w:val="28"/>
          <w:szCs w:val="28"/>
        </w:rPr>
        <w:t xml:space="preserve">Низкий уровень </w:t>
      </w:r>
      <w:r>
        <w:rPr>
          <w:rFonts w:ascii="Times New Roman" w:hAnsi="Times New Roman" w:cs="Times New Roman"/>
          <w:sz w:val="28"/>
          <w:szCs w:val="28"/>
        </w:rPr>
        <w:t>от 5 класса до 6</w:t>
      </w:r>
      <w:r w:rsidRPr="00456AB4">
        <w:rPr>
          <w:rFonts w:ascii="Times New Roman" w:hAnsi="Times New Roman" w:cs="Times New Roman"/>
          <w:sz w:val="28"/>
          <w:szCs w:val="28"/>
        </w:rPr>
        <w:t xml:space="preserve"> класса снижается и стремится к нулю. А в 8 классе резко увеличивается показатель низкого уровня мотивации и  держится стабильно до 9 класса. Также в  выпускных классах  есть учащиеся,  у которых нет связи между школьным образованием и собственным самоопределением. </w:t>
      </w:r>
    </w:p>
    <w:p w:rsidR="00456AB4" w:rsidRPr="00456AB4" w:rsidRDefault="00456AB4" w:rsidP="000F25A8">
      <w:pPr>
        <w:jc w:val="both"/>
        <w:rPr>
          <w:rFonts w:ascii="Times New Roman" w:hAnsi="Times New Roman" w:cs="Times New Roman"/>
          <w:sz w:val="28"/>
          <w:szCs w:val="28"/>
        </w:rPr>
      </w:pPr>
      <w:r w:rsidRPr="00456AB4">
        <w:rPr>
          <w:rFonts w:ascii="Times New Roman" w:hAnsi="Times New Roman" w:cs="Times New Roman"/>
          <w:sz w:val="28"/>
          <w:szCs w:val="28"/>
        </w:rPr>
        <w:t>Что касается среднего уровня, то средний уровень мотивации имеет самый массовый показатель</w:t>
      </w:r>
      <w:r>
        <w:rPr>
          <w:rFonts w:ascii="Times New Roman" w:hAnsi="Times New Roman" w:cs="Times New Roman"/>
          <w:sz w:val="28"/>
          <w:szCs w:val="28"/>
        </w:rPr>
        <w:t xml:space="preserve">.  Резко растёт вверх к 6-7 классу </w:t>
      </w:r>
      <w:r w:rsidRPr="00456AB4">
        <w:rPr>
          <w:rFonts w:ascii="Times New Roman" w:hAnsi="Times New Roman" w:cs="Times New Roman"/>
          <w:sz w:val="28"/>
          <w:szCs w:val="28"/>
        </w:rPr>
        <w:t>и снижается 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A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8-9 классам</w:t>
      </w:r>
      <w:r w:rsidRPr="00456AB4">
        <w:rPr>
          <w:rFonts w:ascii="Times New Roman" w:hAnsi="Times New Roman" w:cs="Times New Roman"/>
          <w:sz w:val="28"/>
          <w:szCs w:val="28"/>
        </w:rPr>
        <w:t xml:space="preserve">. Подростки не осознают важность учебной деятельности для своего будущего. </w:t>
      </w:r>
    </w:p>
    <w:p w:rsidR="00456AB4" w:rsidRPr="00456AB4" w:rsidRDefault="00456AB4" w:rsidP="000F25A8">
      <w:pPr>
        <w:jc w:val="both"/>
        <w:rPr>
          <w:rFonts w:ascii="Times New Roman" w:hAnsi="Times New Roman" w:cs="Times New Roman"/>
          <w:sz w:val="28"/>
          <w:szCs w:val="28"/>
        </w:rPr>
      </w:pPr>
      <w:r w:rsidRPr="00456AB4">
        <w:rPr>
          <w:rFonts w:ascii="Times New Roman" w:hAnsi="Times New Roman" w:cs="Times New Roman"/>
          <w:sz w:val="28"/>
          <w:szCs w:val="28"/>
        </w:rPr>
        <w:t>Рекомендации для классных руководителей: повышение качественной составляющей в работе с родителями, семьей обучающихся.</w:t>
      </w:r>
    </w:p>
    <w:p w:rsidR="00E62615" w:rsidRPr="00456AB4" w:rsidRDefault="00E62615" w:rsidP="000F25A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62615" w:rsidRPr="00456AB4" w:rsidSect="00456AB4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10FB"/>
    <w:rsid w:val="000F25A8"/>
    <w:rsid w:val="0013631D"/>
    <w:rsid w:val="001510FB"/>
    <w:rsid w:val="003B3516"/>
    <w:rsid w:val="00456AB4"/>
    <w:rsid w:val="00A17A2D"/>
    <w:rsid w:val="00DC1F8F"/>
    <w:rsid w:val="00DD74AE"/>
    <w:rsid w:val="00E62615"/>
    <w:rsid w:val="00F07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1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rsid w:val="00DD74AE"/>
    <w:pPr>
      <w:tabs>
        <w:tab w:val="left" w:pos="540"/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DD7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3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35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spPr>
            <a:solidFill>
              <a:schemeClr val="accent2"/>
            </a:solidFill>
          </c:spPr>
          <c:dPt>
            <c:idx val="1"/>
            <c:spPr>
              <a:solidFill>
                <a:schemeClr val="accent1"/>
              </a:solidFill>
            </c:spPr>
          </c:dPt>
          <c:dPt>
            <c:idx val="2"/>
            <c:spPr>
              <a:solidFill>
                <a:srgbClr val="FFC000"/>
              </a:solidFill>
            </c:spPr>
          </c:dPt>
          <c:dPt>
            <c:idx val="5"/>
            <c:spPr>
              <a:solidFill>
                <a:schemeClr val="accent1"/>
              </a:solidFill>
            </c:spPr>
          </c:dPt>
          <c:dPt>
            <c:idx val="10"/>
            <c:spPr>
              <a:solidFill>
                <a:schemeClr val="accent1"/>
              </a:solidFill>
            </c:spPr>
          </c:dPt>
          <c:dPt>
            <c:idx val="14"/>
            <c:spPr>
              <a:solidFill>
                <a:schemeClr val="accent1"/>
              </a:solidFill>
            </c:spPr>
          </c:dPt>
          <c:dPt>
            <c:idx val="15"/>
            <c:spPr>
              <a:solidFill>
                <a:srgbClr val="FFC000"/>
              </a:solidFill>
            </c:spPr>
          </c:dPt>
          <c:dPt>
            <c:idx val="18"/>
            <c:spPr>
              <a:solidFill>
                <a:schemeClr val="accent1"/>
              </a:solidFill>
            </c:spPr>
          </c:dPt>
          <c:dPt>
            <c:idx val="19"/>
            <c:spPr>
              <a:solidFill>
                <a:srgbClr val="FFC000"/>
              </a:solidFill>
            </c:spPr>
          </c:dPt>
          <c:val>
            <c:numRef>
              <c:f>Лист1!$E$3:$E$22</c:f>
              <c:numCache>
                <c:formatCode>0%</c:formatCode>
                <c:ptCount val="20"/>
                <c:pt idx="0">
                  <c:v>0.17</c:v>
                </c:pt>
                <c:pt idx="1">
                  <c:v>0.66000000000000014</c:v>
                </c:pt>
                <c:pt idx="2">
                  <c:v>0.17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  <c:pt idx="13">
                  <c:v>0</c:v>
                </c:pt>
                <c:pt idx="14">
                  <c:v>0.60000000000000009</c:v>
                </c:pt>
                <c:pt idx="15">
                  <c:v>0.4</c:v>
                </c:pt>
                <c:pt idx="17">
                  <c:v>0</c:v>
                </c:pt>
                <c:pt idx="18">
                  <c:v>0.60000000000000009</c:v>
                </c:pt>
                <c:pt idx="19">
                  <c:v>0.4</c:v>
                </c:pt>
              </c:numCache>
            </c:numRef>
          </c:val>
        </c:ser>
        <c:axId val="194224128"/>
        <c:axId val="194225664"/>
      </c:barChart>
      <c:catAx>
        <c:axId val="194224128"/>
        <c:scaling>
          <c:orientation val="minMax"/>
        </c:scaling>
        <c:axPos val="b"/>
        <c:minorGridlines/>
        <c:tickLblPos val="nextTo"/>
        <c:crossAx val="194225664"/>
        <c:crosses val="autoZero"/>
        <c:auto val="1"/>
        <c:lblAlgn val="ctr"/>
        <c:lblOffset val="100"/>
      </c:catAx>
      <c:valAx>
        <c:axId val="194225664"/>
        <c:scaling>
          <c:orientation val="minMax"/>
        </c:scaling>
        <c:axPos val="l"/>
        <c:majorGridlines/>
        <c:numFmt formatCode="0%" sourceLinked="1"/>
        <c:tickLblPos val="nextTo"/>
        <c:crossAx val="194224128"/>
        <c:crosses val="autoZero"/>
        <c:crossBetween val="between"/>
      </c:valAx>
    </c:plotArea>
    <c:plotVisOnly val="1"/>
  </c:chart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0.08237</cdr:x>
      <cdr:y>0.91967</cdr:y>
    </cdr:from>
    <cdr:to>
      <cdr:x>0.22405</cdr:x>
      <cdr:y>1</cdr:y>
    </cdr:to>
    <cdr:sp macro="" textlink="">
      <cdr:nvSpPr>
        <cdr:cNvPr id="2" name="Скругленный прямоугольник 1"/>
        <cdr:cNvSpPr/>
      </cdr:nvSpPr>
      <cdr:spPr>
        <a:xfrm xmlns:a="http://schemas.openxmlformats.org/drawingml/2006/main">
          <a:off x="476250" y="3346257"/>
          <a:ext cx="819150" cy="292293"/>
        </a:xfrm>
        <a:prstGeom xmlns:a="http://schemas.openxmlformats.org/drawingml/2006/main" prst="roundRect">
          <a:avLst/>
        </a:prstGeom>
        <a:solidFill xmlns:a="http://schemas.openxmlformats.org/drawingml/2006/main">
          <a:schemeClr val="bg1"/>
        </a:solidFill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ru-RU"/>
            <a:t>5</a:t>
          </a:r>
          <a:r>
            <a:rPr lang="ru-RU">
              <a:solidFill>
                <a:schemeClr val="tx1"/>
              </a:solidFill>
            </a:rPr>
            <a:t>5</a:t>
          </a:r>
          <a:r>
            <a:rPr lang="ru-RU" baseline="0">
              <a:solidFill>
                <a:schemeClr val="tx1"/>
              </a:solidFill>
            </a:rPr>
            <a:t> класс</a:t>
          </a:r>
          <a:endParaRPr lang="ru-RU"/>
        </a:p>
      </cdr:txBody>
    </cdr:sp>
  </cdr:relSizeAnchor>
  <cdr:relSizeAnchor xmlns:cdr="http://schemas.openxmlformats.org/drawingml/2006/chartDrawing">
    <cdr:from>
      <cdr:x>0.26689</cdr:x>
      <cdr:y>0.9267</cdr:y>
    </cdr:from>
    <cdr:to>
      <cdr:x>0.41516</cdr:x>
      <cdr:y>1</cdr:y>
    </cdr:to>
    <cdr:sp macro="" textlink="">
      <cdr:nvSpPr>
        <cdr:cNvPr id="3" name="Скругленный прямоугольник 2"/>
        <cdr:cNvSpPr/>
      </cdr:nvSpPr>
      <cdr:spPr>
        <a:xfrm xmlns:a="http://schemas.openxmlformats.org/drawingml/2006/main">
          <a:off x="1543051" y="3371850"/>
          <a:ext cx="857250" cy="266700"/>
        </a:xfrm>
        <a:prstGeom xmlns:a="http://schemas.openxmlformats.org/drawingml/2006/main" prst="roundRect">
          <a:avLst/>
        </a:prstGeom>
        <a:solidFill xmlns:a="http://schemas.openxmlformats.org/drawingml/2006/main">
          <a:schemeClr val="bg1"/>
        </a:solidFill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ru-RU"/>
            <a:t>6</a:t>
          </a:r>
          <a:r>
            <a:rPr lang="ru-RU">
              <a:solidFill>
                <a:schemeClr val="tx1"/>
              </a:solidFill>
            </a:rPr>
            <a:t>6 класс</a:t>
          </a:r>
          <a:endParaRPr lang="ru-RU"/>
        </a:p>
      </cdr:txBody>
    </cdr:sp>
  </cdr:relSizeAnchor>
  <cdr:relSizeAnchor xmlns:cdr="http://schemas.openxmlformats.org/drawingml/2006/chartDrawing">
    <cdr:from>
      <cdr:x>0.47611</cdr:x>
      <cdr:y>0.92147</cdr:y>
    </cdr:from>
    <cdr:to>
      <cdr:x>0.61285</cdr:x>
      <cdr:y>1</cdr:y>
    </cdr:to>
    <cdr:sp macro="" textlink="">
      <cdr:nvSpPr>
        <cdr:cNvPr id="4" name="Скругленный прямоугольник 3"/>
        <cdr:cNvSpPr/>
      </cdr:nvSpPr>
      <cdr:spPr>
        <a:xfrm xmlns:a="http://schemas.openxmlformats.org/drawingml/2006/main">
          <a:off x="2752725" y="3352800"/>
          <a:ext cx="790575" cy="285750"/>
        </a:xfrm>
        <a:prstGeom xmlns:a="http://schemas.openxmlformats.org/drawingml/2006/main" prst="roundRect">
          <a:avLst/>
        </a:prstGeom>
        <a:solidFill xmlns:a="http://schemas.openxmlformats.org/drawingml/2006/main">
          <a:schemeClr val="bg1"/>
        </a:solidFill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ru-RU">
              <a:solidFill>
                <a:schemeClr val="tx1"/>
              </a:solidFill>
            </a:rPr>
            <a:t>7 класс</a:t>
          </a:r>
        </a:p>
      </cdr:txBody>
    </cdr:sp>
  </cdr:relSizeAnchor>
  <cdr:relSizeAnchor xmlns:cdr="http://schemas.openxmlformats.org/drawingml/2006/chartDrawing">
    <cdr:from>
      <cdr:x>0.69357</cdr:x>
      <cdr:y>0.91885</cdr:y>
    </cdr:from>
    <cdr:to>
      <cdr:x>0.8369</cdr:x>
      <cdr:y>1</cdr:y>
    </cdr:to>
    <cdr:sp macro="" textlink="">
      <cdr:nvSpPr>
        <cdr:cNvPr id="5" name="Скругленный прямоугольник 4"/>
        <cdr:cNvSpPr/>
      </cdr:nvSpPr>
      <cdr:spPr>
        <a:xfrm xmlns:a="http://schemas.openxmlformats.org/drawingml/2006/main">
          <a:off x="4010025" y="3400425"/>
          <a:ext cx="828675" cy="295275"/>
        </a:xfrm>
        <a:prstGeom xmlns:a="http://schemas.openxmlformats.org/drawingml/2006/main" prst="roundRect">
          <a:avLst/>
        </a:prstGeom>
        <a:solidFill xmlns:a="http://schemas.openxmlformats.org/drawingml/2006/main">
          <a:schemeClr val="bg1"/>
        </a:solidFill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ru-RU">
              <a:solidFill>
                <a:schemeClr val="tx1"/>
              </a:solidFill>
            </a:rPr>
            <a:t>8 класс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2021-05-19T05:51:00Z</dcterms:created>
  <dcterms:modified xsi:type="dcterms:W3CDTF">2021-05-19T09:52:00Z</dcterms:modified>
</cp:coreProperties>
</file>