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r w:rsidRPr="009850E6">
              <w:rPr>
                <w:kern w:val="0"/>
                <w:lang w:eastAsia="en-US"/>
              </w:rPr>
              <w:t xml:space="preserve">  </w:t>
            </w:r>
          </w:p>
          <w:p w:rsidR="00193ED5" w:rsidRPr="009850E6" w:rsidRDefault="00193ED5" w:rsidP="007C7709">
            <w:pPr>
              <w:spacing w:after="160" w:line="259" w:lineRule="auto"/>
              <w:jc w:val="center"/>
              <w:rPr>
                <w:kern w:val="0"/>
                <w:lang w:eastAsia="en-US"/>
              </w:rPr>
            </w:pPr>
            <w:r w:rsidRPr="009850E6">
              <w:rPr>
                <w:b/>
                <w:bCs/>
                <w:kern w:val="0"/>
                <w:lang w:eastAsia="en-US"/>
              </w:rPr>
              <w:t>Ответственность несовершеннолетних</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Несовершеннолетние могут нести гражданско-правовую, материальную (в рамках трудовых отношений), налоговую, административную, уголовную ответственность. По общему правилу ранее 14 лет несовершеннолетние к ответственности не привлекаются.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Следует учитывать, что в зависимости от действий, совершенных несовершеннолетним, разные виды ответственности могут наступать как самостоятельно, так и одновременно с другими видами ответственности. </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r w:rsidRPr="009850E6">
              <w:rPr>
                <w:kern w:val="0"/>
                <w:lang w:eastAsia="en-US"/>
              </w:rPr>
              <w:t xml:space="preserve">  </w:t>
            </w:r>
          </w:p>
          <w:p w:rsidR="00193ED5" w:rsidRPr="009850E6" w:rsidRDefault="00193ED5" w:rsidP="007C7709">
            <w:pPr>
              <w:spacing w:after="160" w:line="259" w:lineRule="auto"/>
              <w:jc w:val="both"/>
              <w:rPr>
                <w:kern w:val="0"/>
                <w:lang w:eastAsia="en-US"/>
              </w:rPr>
            </w:pPr>
            <w:r w:rsidRPr="009850E6">
              <w:rPr>
                <w:b/>
                <w:bCs/>
                <w:kern w:val="0"/>
                <w:lang w:eastAsia="en-US"/>
              </w:rPr>
              <w:t>1. Привлечение несовершеннолетних к гражданско-правовой ответственности</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Имущественную ответственность по всем сделкам малолетнего несут его родители, усыновители или опекуны, если не докажут, что обязательство было нарушено не по их вине. При этих же условиях они отвечают за вред, причиненный малолетними.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то эта организация обязана возместить вред, причиненный малолетним гражданином, если не докажет, что вред возник не по ее вине. </w:t>
      </w:r>
    </w:p>
    <w:p w:rsidR="00193ED5" w:rsidRPr="009850E6" w:rsidRDefault="00193ED5" w:rsidP="00A1266F">
      <w:pPr>
        <w:spacing w:after="160" w:line="259" w:lineRule="auto"/>
        <w:ind w:firstLine="708"/>
        <w:jc w:val="both"/>
        <w:rPr>
          <w:kern w:val="0"/>
          <w:lang w:eastAsia="en-US"/>
        </w:rPr>
      </w:pPr>
      <w:r w:rsidRPr="009850E6">
        <w:rPr>
          <w:kern w:val="0"/>
          <w:lang w:eastAsia="en-US"/>
        </w:rPr>
        <w:t>Если же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193ED5" w:rsidRPr="009850E6" w:rsidRDefault="00193ED5" w:rsidP="00A1266F">
      <w:pPr>
        <w:spacing w:after="160" w:line="259" w:lineRule="auto"/>
        <w:ind w:firstLine="708"/>
        <w:jc w:val="both"/>
        <w:rPr>
          <w:kern w:val="0"/>
          <w:lang w:eastAsia="en-US"/>
        </w:rPr>
      </w:pPr>
      <w:r w:rsidRPr="009850E6">
        <w:rPr>
          <w:kern w:val="0"/>
          <w:lang w:eastAsia="en-US"/>
        </w:rPr>
        <w:t>Несовершеннолетние от 14 до 18 лет по общему правилу самостоятельно несут имущественную ответственность по сделкам, которые они вправе совершать, а также ответственность за причиненный ими вред.</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В случае, когда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 </w:t>
      </w:r>
    </w:p>
    <w:p w:rsidR="00193ED5" w:rsidRPr="009850E6" w:rsidRDefault="00193ED5" w:rsidP="00A1266F">
      <w:pPr>
        <w:spacing w:after="160" w:line="259" w:lineRule="auto"/>
        <w:ind w:firstLine="708"/>
        <w:jc w:val="both"/>
        <w:rPr>
          <w:kern w:val="0"/>
          <w:lang w:eastAsia="en-US"/>
        </w:rPr>
      </w:pPr>
      <w:r w:rsidRPr="009850E6">
        <w:rPr>
          <w:kern w:val="0"/>
          <w:lang w:eastAsia="en-US"/>
        </w:rPr>
        <w:t>Если несовершеннолетний гражданин в возрасте от 14 до 18 лет,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полностью или в недостающей части, если не докажет, что вред возник не по ее вине.</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r w:rsidRPr="009850E6">
              <w:rPr>
                <w:kern w:val="0"/>
                <w:lang w:eastAsia="en-US"/>
              </w:rPr>
              <w:t xml:space="preserve">  </w:t>
            </w:r>
          </w:p>
          <w:p w:rsidR="00193ED5" w:rsidRPr="009850E6" w:rsidRDefault="00193ED5" w:rsidP="007C7709">
            <w:pPr>
              <w:spacing w:after="160" w:line="259" w:lineRule="auto"/>
              <w:jc w:val="both"/>
              <w:rPr>
                <w:kern w:val="0"/>
                <w:lang w:eastAsia="en-US"/>
              </w:rPr>
            </w:pPr>
            <w:r w:rsidRPr="009850E6">
              <w:rPr>
                <w:b/>
                <w:bCs/>
                <w:kern w:val="0"/>
                <w:lang w:eastAsia="en-US"/>
              </w:rPr>
              <w:t>2. Привлечение несовершеннолетних к административной ответственности</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Несовершеннолетние, достигшие ко времени совершения административного правонарушения 16 лет, привлекаются к административной ответственности. </w:t>
      </w:r>
    </w:p>
    <w:p w:rsidR="00193ED5" w:rsidRPr="009850E6" w:rsidRDefault="00193ED5" w:rsidP="00A1266F">
      <w:pPr>
        <w:spacing w:after="160" w:line="259" w:lineRule="auto"/>
        <w:ind w:firstLine="708"/>
        <w:jc w:val="both"/>
        <w:rPr>
          <w:kern w:val="0"/>
          <w:lang w:eastAsia="en-US"/>
        </w:rPr>
      </w:pPr>
      <w:r w:rsidRPr="009850E6">
        <w:rPr>
          <w:kern w:val="0"/>
          <w:lang w:eastAsia="en-US"/>
        </w:rPr>
        <w:t>С учетом конкретных обстоятельств дела и данных о лице, совершившем административное правонарушение в возрасте от 16 до 18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установленной меры воздействия.</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За совершение административных правонарушений к несовершеннолетним могут устанавливаться и применяться, в частности, следующие административные наказания: предупреждение, административный штраф, конфискация орудия совершения или предмета административного правонарушения. </w:t>
      </w:r>
    </w:p>
    <w:p w:rsidR="00193ED5" w:rsidRPr="009850E6" w:rsidRDefault="00193ED5" w:rsidP="00A1266F">
      <w:pPr>
        <w:spacing w:after="160" w:line="259" w:lineRule="auto"/>
        <w:ind w:firstLine="708"/>
        <w:jc w:val="both"/>
        <w:rPr>
          <w:kern w:val="0"/>
          <w:lang w:eastAsia="en-US"/>
        </w:rPr>
      </w:pPr>
      <w:r w:rsidRPr="009850E6">
        <w:rPr>
          <w:kern w:val="0"/>
          <w:lang w:eastAsia="en-US"/>
        </w:rPr>
        <w:t>К лицам, не достигшим 18 лет, административный арест не применяется.</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r w:rsidRPr="009850E6">
              <w:rPr>
                <w:kern w:val="0"/>
                <w:lang w:eastAsia="en-US"/>
              </w:rPr>
              <w:t xml:space="preserve">  </w:t>
            </w:r>
          </w:p>
          <w:p w:rsidR="00193ED5" w:rsidRPr="009850E6" w:rsidRDefault="00193ED5" w:rsidP="007C7709">
            <w:pPr>
              <w:spacing w:after="160" w:line="259" w:lineRule="auto"/>
              <w:jc w:val="both"/>
              <w:rPr>
                <w:kern w:val="0"/>
                <w:lang w:eastAsia="en-US"/>
              </w:rPr>
            </w:pPr>
            <w:r w:rsidRPr="009850E6">
              <w:rPr>
                <w:b/>
                <w:bCs/>
                <w:kern w:val="0"/>
                <w:lang w:eastAsia="en-US"/>
              </w:rPr>
              <w:t>3. Привлечение несовершеннолетних к уголовной ответственности</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В целях уголовно-правового регулирования несовершеннолетними признаются лица, которым ко времени совершения преступления исполнилось 14, но не исполнилось 18 лет.</w:t>
      </w:r>
    </w:p>
    <w:p w:rsidR="00193ED5" w:rsidRPr="009850E6" w:rsidRDefault="00193ED5" w:rsidP="00A1266F">
      <w:pPr>
        <w:spacing w:after="160" w:line="259" w:lineRule="auto"/>
        <w:ind w:firstLine="708"/>
        <w:jc w:val="both"/>
        <w:rPr>
          <w:kern w:val="0"/>
          <w:lang w:eastAsia="en-US"/>
        </w:rPr>
      </w:pPr>
      <w:r w:rsidRPr="009850E6">
        <w:rPr>
          <w:kern w:val="0"/>
          <w:lang w:eastAsia="en-US"/>
        </w:rPr>
        <w:t>Лицо считается достигшим возраста, с которого наступает уголовная ответственность, не в день рождения, а по его истечении, то есть с ноля часов следующих суток. При установлении возраста несовершеннолетнего днем его рождения считается последний день того года, который определен экспертами, а при установлении возраста, исчисляемого числом лет, суду следует исходить из предлагаемого экспертами минимального возраста такого лица.</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Несовершеннолетние привлекаются к уголовной ответственности за совершение некоторых преступлений, если ко времени совершения преступления они достигли возраста 14 лет. К таким преступлениям относятся, например: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убийство;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умышленное причинение тяжкого вреда здоровью;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похищение человека;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изнасилование;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насильственные действия сексуального характера;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грабеж;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разбой;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террористический акт.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За преступления, специально не обозначенные законом, к уголовной ответственности привлекается лицо, достигшее ко времени совершения преступления возраста 16 лет (ч. 1 ст. 20 УК РФ).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Видами наказаний, назначаемых несовершеннолетним, являются: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а)штраф;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б)лишение права заниматься определенной деятельностью;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в)обязательные работы;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г)исправительные работы;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д)ограничение свободы;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е)лишение свободы на определенный срок. </w:t>
      </w:r>
    </w:p>
    <w:p w:rsidR="00193ED5" w:rsidRPr="009850E6" w:rsidRDefault="00193ED5" w:rsidP="00A1266F">
      <w:pPr>
        <w:spacing w:after="160" w:line="259" w:lineRule="auto"/>
        <w:ind w:firstLine="708"/>
        <w:jc w:val="both"/>
        <w:rPr>
          <w:kern w:val="0"/>
          <w:lang w:eastAsia="en-US"/>
        </w:rPr>
      </w:pPr>
      <w:r w:rsidRPr="009850E6">
        <w:rPr>
          <w:kern w:val="0"/>
          <w:lang w:eastAsia="en-US"/>
        </w:rPr>
        <w:t>При назначении наказания несовершеннолетнему учитываются в том числе условия его жизни и воспитания, уровень психического развития, иные особенности личности, а также влияние на него старших по возрасту лиц.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193ED5" w:rsidRPr="009850E6" w:rsidRDefault="00193ED5" w:rsidP="00A1266F">
      <w:pPr>
        <w:spacing w:after="160" w:line="259" w:lineRule="auto"/>
        <w:jc w:val="both"/>
        <w:rPr>
          <w:kern w:val="0"/>
          <w:lang w:eastAsia="en-US"/>
        </w:rPr>
      </w:pPr>
      <w:r w:rsidRPr="009850E6">
        <w:rPr>
          <w:kern w:val="0"/>
          <w:lang w:eastAsia="en-US"/>
        </w:rPr>
        <w:t xml:space="preserve">  </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center"/>
              <w:rPr>
                <w:kern w:val="0"/>
                <w:lang w:eastAsia="en-US"/>
              </w:rPr>
            </w:pPr>
            <w:r w:rsidRPr="009850E6">
              <w:rPr>
                <w:b/>
                <w:bCs/>
                <w:kern w:val="0"/>
                <w:lang w:eastAsia="en-US"/>
              </w:rPr>
              <w:t>Каковы особенности дееспособности несовершеннолетних (в том числе малолетних в возрасте до 14 лет; от 14 до 18 лет)?</w:t>
            </w:r>
          </w:p>
        </w:tc>
      </w:tr>
    </w:tbl>
    <w:p w:rsidR="00193ED5" w:rsidRPr="009850E6" w:rsidRDefault="00193ED5" w:rsidP="00A1266F">
      <w:pPr>
        <w:spacing w:after="160" w:line="259" w:lineRule="auto"/>
        <w:jc w:val="both"/>
        <w:rPr>
          <w:vanish/>
          <w:kern w:val="0"/>
          <w:lang w:eastAsia="en-US"/>
        </w:rPr>
      </w:pPr>
      <w:r w:rsidRPr="009850E6">
        <w:rPr>
          <w:kern w:val="0"/>
          <w:lang w:eastAsia="en-US"/>
        </w:rPr>
        <w:tab/>
      </w:r>
    </w:p>
    <w:p w:rsidR="00193ED5" w:rsidRPr="009850E6" w:rsidRDefault="00193ED5" w:rsidP="00A1266F">
      <w:pPr>
        <w:spacing w:after="160" w:line="259" w:lineRule="auto"/>
        <w:jc w:val="both"/>
        <w:rPr>
          <w:kern w:val="0"/>
          <w:lang w:eastAsia="en-US"/>
        </w:rPr>
      </w:pPr>
      <w:r w:rsidRPr="009850E6">
        <w:rPr>
          <w:kern w:val="0"/>
          <w:lang w:eastAsia="en-US"/>
        </w:rPr>
        <w:t xml:space="preserve">Под дееспособностью понимается способность гражданина своими действиями приобретать и осуществлять гражданские права, создавать для себя гражданские обязанности и исполнять их. Говоря о дееспособности, часто выделяют также: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процессуальную дееспособность, то есть способность гражданина своими действиями осуществлять процессуальные права и исполнять процессуальные обязанности;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деликтоспособность, то есть способность лица самостоятельно нести юридическую ответственность за совершенное правонарушение.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Дееспособность, в том числе процессуальная, в полном объеме, как правило, возникает с наступлением совершеннолетия, то есть по достижении 18 лет. </w:t>
      </w:r>
    </w:p>
    <w:p w:rsidR="00193ED5" w:rsidRPr="009850E6" w:rsidRDefault="00193ED5" w:rsidP="00A1266F">
      <w:pPr>
        <w:spacing w:after="160" w:line="259" w:lineRule="auto"/>
        <w:ind w:firstLine="708"/>
        <w:jc w:val="both"/>
        <w:rPr>
          <w:kern w:val="0"/>
          <w:lang w:eastAsia="en-US"/>
        </w:rPr>
      </w:pPr>
      <w:r w:rsidRPr="009850E6">
        <w:rPr>
          <w:kern w:val="0"/>
          <w:lang w:eastAsia="en-US"/>
        </w:rPr>
        <w:t>Несовершеннолетним (ребенком) признается лицо, не достигшее возраста 18 лет (совершеннолетия).</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p>
          <w:p w:rsidR="00193ED5" w:rsidRPr="009850E6" w:rsidRDefault="00193ED5" w:rsidP="007C7709">
            <w:pPr>
              <w:spacing w:after="160" w:line="259" w:lineRule="auto"/>
              <w:jc w:val="center"/>
              <w:rPr>
                <w:kern w:val="0"/>
                <w:lang w:eastAsia="en-US"/>
              </w:rPr>
            </w:pPr>
            <w:r w:rsidRPr="009850E6">
              <w:rPr>
                <w:b/>
                <w:bCs/>
                <w:kern w:val="0"/>
                <w:lang w:eastAsia="en-US"/>
              </w:rPr>
              <w:t>Дееспособность несовершеннолетних, не достигших 14 лет</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С момента рождения до 6 лет ребенок признается полностью недееспособным. Дети в возрасте от 6 до 14 лет обладают частичной дееспособностью и вправе самостоятельно совершать:</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мелкие бытовые сделки;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сделки, направленные на безвозмездное получение выгоды, не требующие нотариального удостоверения либо государственной регистрации;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w:t>
      </w:r>
    </w:p>
    <w:p w:rsidR="00193ED5" w:rsidRPr="009850E6" w:rsidRDefault="00193ED5" w:rsidP="00A1266F">
      <w:pPr>
        <w:spacing w:after="160" w:line="259" w:lineRule="auto"/>
        <w:ind w:firstLine="708"/>
        <w:jc w:val="both"/>
        <w:rPr>
          <w:kern w:val="0"/>
          <w:lang w:eastAsia="en-US"/>
        </w:rPr>
      </w:pPr>
      <w:r w:rsidRPr="009850E6">
        <w:rPr>
          <w:kern w:val="0"/>
          <w:lang w:eastAsia="en-US"/>
        </w:rPr>
        <w:t>Все остальные сделки от имени несовершеннолетних, не достигших 14 лет (малолетних), могут совершать только их родители, усыновители или опекуны.</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По общему правилу сделка, совершенная малолетним ребенком, ничтожна.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 Эти правила не распространяются на мелкие бытовые и другие сделки малолетних, которые они вправе совершать самостоятельно. </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p>
          <w:p w:rsidR="00193ED5" w:rsidRPr="009850E6" w:rsidRDefault="00193ED5" w:rsidP="007C7709">
            <w:pPr>
              <w:spacing w:after="160" w:line="259" w:lineRule="auto"/>
              <w:jc w:val="center"/>
              <w:rPr>
                <w:kern w:val="0"/>
                <w:lang w:eastAsia="en-US"/>
              </w:rPr>
            </w:pPr>
            <w:r w:rsidRPr="009850E6">
              <w:rPr>
                <w:b/>
                <w:bCs/>
                <w:kern w:val="0"/>
                <w:lang w:eastAsia="en-US"/>
              </w:rPr>
              <w:t>Дееспособность несовершеннолетних в возрасте от 14 до 18 лет</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Несовершеннолетние в возрасте от 14 до 18 лет обладают частичной дееспособностью и вправе самостоятельно, без согласия родителей, усыновителей и попечителя, в частности: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распоряжаться своими заработком, стипендией и иными доходами;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в соответствии с законом вносить вклады в кредитные организации и распоряжаться ими;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совершать мелкие бытовые сделки;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совершать сделки, направленные на безвозмездное получение выгоды, не требующие нотариального удостоверения либо государственной регистрации;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совершать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вступать в кооперативы (по достижении 16 лет).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Все остальные сделки несовершеннолетние совершают с письменного согласия своих законных представителей - родителей, усыновителей или попечителя. </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r w:rsidRPr="009850E6">
              <w:rPr>
                <w:kern w:val="0"/>
                <w:lang w:eastAsia="en-US"/>
              </w:rPr>
              <w:t xml:space="preserve">  </w:t>
            </w:r>
          </w:p>
          <w:p w:rsidR="00193ED5" w:rsidRPr="009850E6" w:rsidRDefault="00193ED5" w:rsidP="007C7709">
            <w:pPr>
              <w:spacing w:after="160" w:line="259" w:lineRule="auto"/>
              <w:jc w:val="center"/>
              <w:rPr>
                <w:kern w:val="0"/>
                <w:lang w:eastAsia="en-US"/>
              </w:rPr>
            </w:pPr>
            <w:r w:rsidRPr="009850E6">
              <w:rPr>
                <w:b/>
                <w:bCs/>
                <w:kern w:val="0"/>
                <w:lang w:eastAsia="en-US"/>
              </w:rPr>
              <w:t>Приобретение дееспособности в полном объеме до наступления совершеннолетия</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Приобретение дееспособности в полном объеме до наступления совершеннолетия возможно в случаях заключения брака или эмансипации. </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r w:rsidRPr="009850E6">
              <w:rPr>
                <w:kern w:val="0"/>
                <w:lang w:eastAsia="en-US"/>
              </w:rPr>
              <w:t xml:space="preserve">  </w:t>
            </w:r>
          </w:p>
          <w:p w:rsidR="00193ED5" w:rsidRPr="009850E6" w:rsidRDefault="00193ED5" w:rsidP="007C7709">
            <w:pPr>
              <w:spacing w:after="160" w:line="259" w:lineRule="auto"/>
              <w:jc w:val="center"/>
              <w:rPr>
                <w:kern w:val="0"/>
                <w:lang w:eastAsia="en-US"/>
              </w:rPr>
            </w:pPr>
            <w:r w:rsidRPr="009850E6">
              <w:rPr>
                <w:b/>
                <w:bCs/>
                <w:kern w:val="0"/>
                <w:lang w:eastAsia="en-US"/>
              </w:rPr>
              <w:t>1. Приобретение дееспособности при вступлении в брак</w:t>
            </w:r>
          </w:p>
        </w:tc>
      </w:tr>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По общему правилу заключение брака возможно по достижении 18 лет. Однако законом в некоторых случаях допускается вступление в брак до достижения указанного возраста.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При наличии уважительных причин органы местного самоуправления вправе разрешить вступить в брак лицам, достигшим возраста 16 лет. В этом случае гражданин, не достигший 18 лет, приобретает дееспособность в полном объеме со времени вступления в брак. </w:t>
      </w:r>
    </w:p>
    <w:p w:rsidR="00193ED5" w:rsidRPr="009850E6" w:rsidRDefault="00193ED5" w:rsidP="00A1266F">
      <w:pPr>
        <w:spacing w:after="160" w:line="259" w:lineRule="auto"/>
        <w:ind w:firstLine="708"/>
        <w:jc w:val="both"/>
        <w:rPr>
          <w:kern w:val="0"/>
          <w:lang w:eastAsia="en-US"/>
        </w:rPr>
      </w:pPr>
      <w:r w:rsidRPr="009850E6">
        <w:rPr>
          <w:kern w:val="0"/>
          <w:lang w:eastAsia="en-US"/>
        </w:rPr>
        <w:t>В случае расторжения брака до достижения 18 лет приобретенная в результате заключения брака дееспособность сохраняется в полном объеме.</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r w:rsidRPr="009850E6">
              <w:rPr>
                <w:kern w:val="0"/>
                <w:lang w:eastAsia="en-US"/>
              </w:rPr>
              <w:t xml:space="preserve">  </w:t>
            </w:r>
          </w:p>
          <w:p w:rsidR="00193ED5" w:rsidRPr="009850E6" w:rsidRDefault="00193ED5" w:rsidP="007C7709">
            <w:pPr>
              <w:spacing w:after="160" w:line="259" w:lineRule="auto"/>
              <w:jc w:val="center"/>
              <w:rPr>
                <w:kern w:val="0"/>
                <w:lang w:eastAsia="en-US"/>
              </w:rPr>
            </w:pPr>
            <w:r w:rsidRPr="009850E6">
              <w:rPr>
                <w:b/>
                <w:bCs/>
                <w:kern w:val="0"/>
                <w:lang w:eastAsia="en-US"/>
              </w:rPr>
              <w:t>2. Объявление несовершеннолетнего полностью дееспособным</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Несовершеннолетний, достигший 16 лет, может быть объявлен полностью дееспособным, если он работает по трудовому договору (контракту) или с согласия родителей, усыновителей или попечителя занимается предпринимательской деятельностью.</w:t>
      </w:r>
    </w:p>
    <w:p w:rsidR="00193ED5" w:rsidRPr="009850E6" w:rsidRDefault="00193ED5" w:rsidP="00A1266F">
      <w:pPr>
        <w:spacing w:after="160" w:line="259" w:lineRule="auto"/>
        <w:ind w:firstLine="708"/>
        <w:jc w:val="both"/>
        <w:rPr>
          <w:kern w:val="0"/>
          <w:lang w:eastAsia="en-US"/>
        </w:rPr>
      </w:pPr>
      <w:r w:rsidRPr="009850E6">
        <w:rPr>
          <w:kern w:val="0"/>
          <w:lang w:eastAsia="en-US"/>
        </w:rPr>
        <w:t>Объявление несовершеннолетнего полностью дееспособным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 При обращении в суд несовершеннолетний, достигший 16 лет, объявляется полностью дееспособным (эмансипированным) со дня вступления в законную силу решения суда об эмансипации.</w:t>
      </w:r>
    </w:p>
    <w:p w:rsidR="00193ED5" w:rsidRPr="009850E6" w:rsidRDefault="00193ED5" w:rsidP="00A1266F">
      <w:pPr>
        <w:spacing w:after="160" w:line="259" w:lineRule="auto"/>
        <w:jc w:val="both"/>
        <w:rPr>
          <w:kern w:val="0"/>
          <w:lang w:eastAsia="en-US"/>
        </w:rPr>
      </w:pPr>
      <w:r w:rsidRPr="009850E6">
        <w:rPr>
          <w:kern w:val="0"/>
          <w:lang w:eastAsia="en-US"/>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tbl>
      <w:tblPr>
        <w:tblW w:w="5000" w:type="pct"/>
        <w:tblCellMar>
          <w:top w:w="15" w:type="dxa"/>
          <w:left w:w="15" w:type="dxa"/>
          <w:bottom w:w="15" w:type="dxa"/>
          <w:right w:w="15" w:type="dxa"/>
        </w:tblCellMar>
        <w:tblLook w:val="00A0"/>
      </w:tblPr>
      <w:tblGrid>
        <w:gridCol w:w="9355"/>
      </w:tblGrid>
      <w:tr w:rsidR="00193ED5" w:rsidRPr="009850E6" w:rsidTr="007C7709">
        <w:tc>
          <w:tcPr>
            <w:tcW w:w="0" w:type="auto"/>
            <w:tcMar>
              <w:top w:w="0" w:type="dxa"/>
              <w:left w:w="0" w:type="dxa"/>
              <w:bottom w:w="0" w:type="dxa"/>
              <w:right w:w="0" w:type="dxa"/>
            </w:tcMar>
            <w:vAlign w:val="center"/>
          </w:tcPr>
          <w:p w:rsidR="00193ED5" w:rsidRPr="009850E6" w:rsidRDefault="00193ED5" w:rsidP="007C7709">
            <w:pPr>
              <w:spacing w:after="160" w:line="259" w:lineRule="auto"/>
              <w:jc w:val="both"/>
              <w:rPr>
                <w:kern w:val="0"/>
                <w:lang w:eastAsia="en-US"/>
              </w:rPr>
            </w:pPr>
            <w:r w:rsidRPr="009850E6">
              <w:rPr>
                <w:kern w:val="0"/>
                <w:lang w:eastAsia="en-US"/>
              </w:rPr>
              <w:t xml:space="preserve">  </w:t>
            </w:r>
          </w:p>
          <w:p w:rsidR="00193ED5" w:rsidRPr="009850E6" w:rsidRDefault="00193ED5" w:rsidP="007C7709">
            <w:pPr>
              <w:spacing w:after="160" w:line="259" w:lineRule="auto"/>
              <w:jc w:val="center"/>
              <w:rPr>
                <w:kern w:val="0"/>
                <w:lang w:eastAsia="en-US"/>
              </w:rPr>
            </w:pPr>
            <w:r w:rsidRPr="009850E6">
              <w:rPr>
                <w:b/>
                <w:bCs/>
                <w:kern w:val="0"/>
                <w:lang w:eastAsia="en-US"/>
              </w:rPr>
              <w:t>Гражданская процессуальная дееспособность</w:t>
            </w:r>
          </w:p>
        </w:tc>
      </w:tr>
    </w:tbl>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Несовершеннолетний может подать иск в суд со времени вступления в брак или объявления его полностью дееспособным (эмансипации). </w:t>
      </w:r>
    </w:p>
    <w:p w:rsidR="00193ED5" w:rsidRPr="009850E6" w:rsidRDefault="00193ED5" w:rsidP="00A1266F">
      <w:pPr>
        <w:spacing w:after="160" w:line="259" w:lineRule="auto"/>
        <w:ind w:firstLine="708"/>
        <w:jc w:val="both"/>
        <w:rPr>
          <w:kern w:val="0"/>
          <w:lang w:eastAsia="en-US"/>
        </w:rPr>
      </w:pPr>
      <w:r w:rsidRPr="009850E6">
        <w:rPr>
          <w:kern w:val="0"/>
          <w:lang w:eastAsia="en-US"/>
        </w:rPr>
        <w:t xml:space="preserve">Права, свободы и законные интересы несовершеннолетних в возрасте от 14 до 18 лет защищают в процессе их законные представители. При этом суд обязан привлекать к участию в таких делах самих несовершеннолетних. В отдельных случаях по делам, возникающим из гражданских, семейных, трудовых и иных правоотношений, такие несовершеннолетние вправе лично защищать в суде свои права, свободы и законные интересы. В данном случае суд вправе привлечь к участию в таких делах законных представителей несовершеннолетних. </w:t>
      </w:r>
    </w:p>
    <w:p w:rsidR="00193ED5" w:rsidRPr="009850E6" w:rsidRDefault="00193ED5" w:rsidP="00A1266F">
      <w:pPr>
        <w:spacing w:after="160" w:line="259" w:lineRule="auto"/>
        <w:jc w:val="both"/>
        <w:rPr>
          <w:kern w:val="0"/>
          <w:lang w:eastAsia="en-US"/>
        </w:rPr>
      </w:pPr>
      <w:r w:rsidRPr="009850E6">
        <w:rPr>
          <w:kern w:val="0"/>
          <w:lang w:eastAsia="en-US"/>
        </w:rPr>
        <w:t xml:space="preserve">Права, свободы и законные интересы несовершеннолетних, не достигших 14 лет, как правило, защищают в процессе их законные представители или иные лица, которым это право предоставлено федеральным законом. </w:t>
      </w:r>
    </w:p>
    <w:p w:rsidR="00193ED5" w:rsidRPr="009850E6" w:rsidRDefault="00193ED5" w:rsidP="00A1266F">
      <w:pPr>
        <w:spacing w:after="160" w:line="259" w:lineRule="auto"/>
        <w:jc w:val="both"/>
        <w:rPr>
          <w:kern w:val="0"/>
          <w:lang w:eastAsia="en-US"/>
        </w:rPr>
      </w:pPr>
      <w:r w:rsidRPr="009850E6">
        <w:rPr>
          <w:kern w:val="0"/>
          <w:lang w:eastAsia="en-US"/>
        </w:rPr>
        <w:t xml:space="preserve">  </w:t>
      </w:r>
    </w:p>
    <w:p w:rsidR="00193ED5" w:rsidRPr="009850E6" w:rsidRDefault="00193ED5" w:rsidP="00A1266F">
      <w:pPr>
        <w:spacing w:after="160" w:line="259" w:lineRule="auto"/>
        <w:jc w:val="both"/>
        <w:rPr>
          <w:kern w:val="0"/>
          <w:lang w:eastAsia="en-US"/>
        </w:rPr>
      </w:pPr>
    </w:p>
    <w:p w:rsidR="00193ED5" w:rsidRPr="009850E6" w:rsidRDefault="00193ED5" w:rsidP="00A1266F">
      <w:pPr>
        <w:spacing w:after="160" w:line="259" w:lineRule="auto"/>
        <w:rPr>
          <w:rFonts w:ascii="Calibri" w:hAnsi="Calibri"/>
          <w:kern w:val="0"/>
          <w:sz w:val="22"/>
          <w:szCs w:val="22"/>
          <w:lang w:eastAsia="en-US"/>
        </w:rPr>
      </w:pPr>
    </w:p>
    <w:p w:rsidR="00193ED5" w:rsidRPr="009850E6" w:rsidRDefault="00193ED5" w:rsidP="00A1266F">
      <w:pPr>
        <w:widowControl w:val="0"/>
        <w:overflowPunct w:val="0"/>
        <w:adjustRightInd w:val="0"/>
        <w:jc w:val="both"/>
        <w:rPr>
          <w:kern w:val="0"/>
          <w:sz w:val="20"/>
        </w:rPr>
      </w:pPr>
    </w:p>
    <w:p w:rsidR="00193ED5" w:rsidRDefault="00193ED5"/>
    <w:sectPr w:rsidR="00193ED5" w:rsidSect="00A459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266F"/>
    <w:rsid w:val="00067B0F"/>
    <w:rsid w:val="00152708"/>
    <w:rsid w:val="00193ED5"/>
    <w:rsid w:val="00450EA2"/>
    <w:rsid w:val="007C7709"/>
    <w:rsid w:val="009850E6"/>
    <w:rsid w:val="00A1266F"/>
    <w:rsid w:val="00A169B4"/>
    <w:rsid w:val="00A4591D"/>
    <w:rsid w:val="00AC0DE0"/>
    <w:rsid w:val="00DA2E30"/>
    <w:rsid w:val="00DC207D"/>
    <w:rsid w:val="00EA1D0A"/>
    <w:rsid w:val="00F27B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6F"/>
    <w:rPr>
      <w:rFonts w:ascii="Times New Roman" w:eastAsia="Times New Roman" w:hAnsi="Times New Roman"/>
      <w:kern w:val="28"/>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A1266F"/>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1564</Words>
  <Characters>8919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Криворотова Яна Владимировна</dc:creator>
  <cp:keywords/>
  <dc:description/>
  <cp:lastModifiedBy>Прокуратура</cp:lastModifiedBy>
  <cp:revision>2</cp:revision>
  <dcterms:created xsi:type="dcterms:W3CDTF">2023-02-10T08:08:00Z</dcterms:created>
  <dcterms:modified xsi:type="dcterms:W3CDTF">2023-02-10T09:05:00Z</dcterms:modified>
</cp:coreProperties>
</file>