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79846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099227ef-7029-4079-ae60-1c1e725042d4"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60108ef9-761b-4d5f-b35a-43765278bc23" w:id="2"/>
      <w:r>
        <w:rPr>
          <w:rFonts w:ascii="Times New Roman" w:hAnsi="Times New Roman"/>
          <w:b/>
          <w:i w:val="false"/>
          <w:color w:val="000000"/>
          <w:sz w:val="28"/>
        </w:rPr>
        <w:t>Муниципальное образование Мостовский район</w:t>
      </w:r>
      <w:bookmarkEnd w:id="2"/>
    </w:p>
    <w:p>
      <w:pPr>
        <w:spacing w:before="0" w:after="0" w:line="408"/>
        <w:ind w:left="120"/>
        <w:jc w:val="center"/>
      </w:pPr>
      <w:r>
        <w:rPr>
          <w:rFonts w:ascii="Times New Roman" w:hAnsi="Times New Roman"/>
          <w:b/>
          <w:i w:val="false"/>
          <w:color w:val="000000"/>
          <w:sz w:val="28"/>
        </w:rPr>
        <w:t>СОШ №5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 МБОУ СОШ №5 им. А.П.Лимаренко поселка Псебай</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Н.В. Беликова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№187</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№5 им. А.П.Лимаренко поселка Псебай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А.А. Сулухия</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№187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3548303)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6d5ed29-4355-44c3-96c9-68a638030246" w:id="3"/>
      <w:r>
        <w:rPr>
          <w:rFonts w:ascii="Times New Roman" w:hAnsi="Times New Roman"/>
          <w:b/>
          <w:i w:val="false"/>
          <w:color w:val="000000"/>
          <w:sz w:val="28"/>
        </w:rPr>
        <w:t>пгт. Псебай</w:t>
      </w:r>
      <w:bookmarkEnd w:id="3"/>
      <w:r>
        <w:rPr>
          <w:rFonts w:ascii="Times New Roman" w:hAnsi="Times New Roman"/>
          <w:b/>
          <w:i w:val="false"/>
          <w:color w:val="000000"/>
          <w:sz w:val="28"/>
        </w:rPr>
        <w:t xml:space="preserve"> </w:t>
      </w:r>
      <w:bookmarkStart w:name="6f91944c-d6af-4ef1-8ebb-72a7d3f52a1b" w:id="4"/>
      <w:r>
        <w:rPr>
          <w:rFonts w:ascii="Times New Roman" w:hAnsi="Times New Roman"/>
          <w:b/>
          <w:i w:val="false"/>
          <w:color w:val="000000"/>
          <w:sz w:val="28"/>
        </w:rPr>
        <w:t>2023г.</w:t>
      </w:r>
      <w:bookmarkEnd w:id="4"/>
    </w:p>
    <w:p>
      <w:pPr>
        <w:spacing w:before="0" w:after="0"/>
        <w:ind w:left="120"/>
        <w:jc w:val="left"/>
      </w:pPr>
    </w:p>
    <w:bookmarkStart w:name="block-26798469" w:id="5"/>
    <w:p>
      <w:pPr>
        <w:sectPr>
          <w:pgSz w:w="11906" w:h="16383" w:orient="portrait"/>
        </w:sectPr>
      </w:pPr>
    </w:p>
    <w:bookmarkEnd w:id="5"/>
    <w:bookmarkEnd w:id="0"/>
    <w:bookmarkStart w:name="block-2679846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7"/>
      <w:bookmarkEnd w:id="7"/>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26798468" w:id="8"/>
    <w:p>
      <w:pPr>
        <w:sectPr>
          <w:pgSz w:w="11906" w:h="16383" w:orient="portrait"/>
        </w:sectPr>
      </w:pPr>
    </w:p>
    <w:bookmarkEnd w:id="8"/>
    <w:bookmarkEnd w:id="6"/>
    <w:bookmarkStart w:name="block-26798464" w:id="9"/>
    <w:p>
      <w:pPr>
        <w:spacing w:before="0" w:after="0" w:line="264"/>
        <w:ind w:left="120"/>
        <w:jc w:val="both"/>
      </w:pPr>
      <w:bookmarkStart w:name="_Toc118726599" w:id="10"/>
      <w:bookmarkEnd w:id="10"/>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11"/>
      <w:bookmarkEnd w:id="11"/>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12"/>
      <w:bookmarkEnd w:id="12"/>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26798464" w:id="13"/>
    <w:p>
      <w:pPr>
        <w:sectPr>
          <w:pgSz w:w="11906" w:h="16383" w:orient="portrait"/>
        </w:sectPr>
      </w:pPr>
    </w:p>
    <w:bookmarkEnd w:id="13"/>
    <w:bookmarkEnd w:id="9"/>
    <w:bookmarkStart w:name="block-26798463" w:id="14"/>
    <w:p>
      <w:pPr>
        <w:spacing w:before="0" w:after="0" w:line="264"/>
        <w:ind w:left="120"/>
        <w:jc w:val="both"/>
      </w:pPr>
      <w:bookmarkStart w:name="_Toc118726577" w:id="15"/>
      <w:bookmarkEnd w:id="15"/>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6"/>
      <w:bookmarkEnd w:id="16"/>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7"/>
      <w:bookmarkEnd w:id="17"/>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8"/>
      <w:bookmarkEnd w:id="18"/>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26798463" w:id="19"/>
    <w:p>
      <w:pPr>
        <w:sectPr>
          <w:pgSz w:w="11906" w:h="16383" w:orient="portrait"/>
        </w:sectPr>
      </w:pPr>
    </w:p>
    <w:bookmarkEnd w:id="19"/>
    <w:bookmarkEnd w:id="14"/>
    <w:bookmarkStart w:name="block-26798465"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26798465" w:id="21"/>
    <w:p>
      <w:pPr>
        <w:sectPr>
          <w:pgSz w:w="16383" w:h="11906" w:orient="landscape"/>
        </w:sectPr>
      </w:pPr>
    </w:p>
    <w:bookmarkEnd w:id="21"/>
    <w:bookmarkEnd w:id="20"/>
    <w:bookmarkStart w:name="block-26798466" w:id="2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7"/>
        <w:gridCol w:w="3171"/>
        <w:gridCol w:w="1113"/>
        <w:gridCol w:w="2099"/>
        <w:gridCol w:w="2246"/>
        <w:gridCol w:w="1729"/>
        <w:gridCol w:w="2739"/>
      </w:tblGrid>
      <w:tr>
        <w:trPr>
          <w:trHeight w:val="390" w:hRule="atLeast"/>
          <w:trHeight w:val="144" w:hRule="atLeast"/>
        </w:trPr>
        <w:tc>
          <w:tcPr>
            <w:tcW w:w="3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17" w:type="dxa"/>
            <w:tcBorders/>
            <w:tcMar>
              <w:top w:w="50" w:type="dxa"/>
              <w:left w:w="100" w:type="dxa"/>
            </w:tcMar>
            <w:vAlign w:val="center"/>
          </w:tcPr>
          <w:p>
            <w:pPr>
              <w:spacing w:before="0" w:after="0"/>
              <w:ind w:left="135"/>
              <w:jc w:val="left"/>
            </w:pPr>
          </w:p>
        </w:tc>
      </w:tr>
      <w:tr>
        <w:trPr>
          <w:trHeight w:val="255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17" w:type="dxa"/>
            <w:tcBorders/>
            <w:tcMar>
              <w:top w:w="50" w:type="dxa"/>
              <w:left w:w="100" w:type="dxa"/>
            </w:tcMar>
            <w:vAlign w:val="center"/>
          </w:tcPr>
          <w:p>
            <w:pPr>
              <w:spacing w:before="0" w:after="0"/>
              <w:ind w:left="135"/>
              <w:jc w:val="left"/>
            </w:pPr>
          </w:p>
        </w:tc>
      </w:tr>
      <w:tr>
        <w:trPr>
          <w:trHeight w:val="214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7" w:type="dxa"/>
            <w:tcBorders/>
            <w:tcMar>
              <w:top w:w="50" w:type="dxa"/>
              <w:left w:w="100" w:type="dxa"/>
            </w:tcMar>
            <w:vAlign w:val="center"/>
          </w:tcPr>
          <w:p>
            <w:pPr>
              <w:spacing w:before="0" w:after="0"/>
              <w:ind w:left="135"/>
              <w:jc w:val="left"/>
            </w:pPr>
          </w:p>
        </w:tc>
      </w:tr>
      <w:tr>
        <w:trPr>
          <w:trHeight w:val="222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17" w:type="dxa"/>
            <w:tcBorders/>
            <w:tcMar>
              <w:top w:w="50" w:type="dxa"/>
              <w:left w:w="100" w:type="dxa"/>
            </w:tcMar>
            <w:vAlign w:val="center"/>
          </w:tcPr>
          <w:p>
            <w:pPr>
              <w:spacing w:before="0" w:after="0"/>
              <w:ind w:left="135"/>
              <w:jc w:val="left"/>
            </w:pPr>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17" w:type="dxa"/>
            <w:tcBorders/>
            <w:tcMar>
              <w:top w:w="50" w:type="dxa"/>
              <w:left w:w="100" w:type="dxa"/>
            </w:tcMar>
            <w:vAlign w:val="center"/>
          </w:tcPr>
          <w:p>
            <w:pPr>
              <w:spacing w:before="0" w:after="0"/>
              <w:ind w:left="135"/>
              <w:jc w:val="left"/>
            </w:pPr>
          </w:p>
        </w:tc>
      </w:tr>
      <w:tr>
        <w:trPr>
          <w:trHeight w:val="244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7" w:type="dxa"/>
            <w:tcBorders/>
            <w:tcMar>
              <w:top w:w="50" w:type="dxa"/>
              <w:left w:w="100" w:type="dxa"/>
            </w:tcMar>
            <w:vAlign w:val="center"/>
          </w:tcPr>
          <w:p>
            <w:pPr>
              <w:spacing w:before="0" w:after="0"/>
              <w:ind w:left="135"/>
              <w:jc w:val="left"/>
            </w:pPr>
          </w:p>
        </w:tc>
      </w:tr>
      <w:tr>
        <w:trPr>
          <w:trHeight w:val="20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17" w:type="dxa"/>
            <w:tcBorders/>
            <w:tcMar>
              <w:top w:w="50" w:type="dxa"/>
              <w:left w:w="100" w:type="dxa"/>
            </w:tcMar>
            <w:vAlign w:val="center"/>
          </w:tcPr>
          <w:p>
            <w:pPr>
              <w:spacing w:before="0" w:after="0"/>
              <w:ind w:left="135"/>
              <w:jc w:val="left"/>
            </w:pPr>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17" w:type="dxa"/>
            <w:tcBorders/>
            <w:tcMar>
              <w:top w:w="50" w:type="dxa"/>
              <w:left w:w="100" w:type="dxa"/>
            </w:tcMar>
            <w:vAlign w:val="center"/>
          </w:tcPr>
          <w:p>
            <w:pPr>
              <w:spacing w:before="0" w:after="0"/>
              <w:ind w:left="135"/>
              <w:jc w:val="left"/>
            </w:pPr>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7" w:type="dxa"/>
            <w:tcBorders/>
            <w:tcMar>
              <w:top w:w="50" w:type="dxa"/>
              <w:left w:w="100" w:type="dxa"/>
            </w:tcMar>
            <w:vAlign w:val="center"/>
          </w:tcPr>
          <w:p>
            <w:pPr>
              <w:spacing w:before="0" w:after="0"/>
              <w:ind w:left="135"/>
              <w:jc w:val="left"/>
            </w:pPr>
          </w:p>
        </w:tc>
      </w:tr>
      <w:tr>
        <w:trPr>
          <w:trHeight w:val="324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7" w:type="dxa"/>
            <w:tcBorders/>
            <w:tcMar>
              <w:top w:w="50" w:type="dxa"/>
              <w:left w:w="100" w:type="dxa"/>
            </w:tcMar>
            <w:vAlign w:val="center"/>
          </w:tcPr>
          <w:p>
            <w:pPr>
              <w:spacing w:before="0" w:after="0"/>
              <w:ind w:left="135"/>
              <w:jc w:val="left"/>
            </w:pPr>
          </w:p>
        </w:tc>
      </w:tr>
      <w:tr>
        <w:trPr>
          <w:trHeight w:val="271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17" w:type="dxa"/>
            <w:tcBorders/>
            <w:tcMar>
              <w:top w:w="50" w:type="dxa"/>
              <w:left w:w="100" w:type="dxa"/>
            </w:tcMar>
            <w:vAlign w:val="center"/>
          </w:tcPr>
          <w:p>
            <w:pPr>
              <w:spacing w:before="0" w:after="0"/>
              <w:ind w:left="135"/>
              <w:jc w:val="left"/>
            </w:pPr>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7" w:type="dxa"/>
            <w:tcBorders/>
            <w:tcMar>
              <w:top w:w="50" w:type="dxa"/>
              <w:left w:w="100" w:type="dxa"/>
            </w:tcMar>
            <w:vAlign w:val="center"/>
          </w:tcPr>
          <w:p>
            <w:pPr>
              <w:spacing w:before="0" w:after="0"/>
              <w:ind w:left="135"/>
              <w:jc w:val="left"/>
            </w:pPr>
          </w:p>
        </w:tc>
      </w:tr>
      <w:tr>
        <w:trPr>
          <w:trHeight w:val="238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17" w:type="dxa"/>
            <w:tcBorders/>
            <w:tcMar>
              <w:top w:w="50" w:type="dxa"/>
              <w:left w:w="100" w:type="dxa"/>
            </w:tcMar>
            <w:vAlign w:val="center"/>
          </w:tcPr>
          <w:p>
            <w:pPr>
              <w:spacing w:before="0" w:after="0"/>
              <w:ind w:left="135"/>
              <w:jc w:val="left"/>
            </w:pPr>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17" w:type="dxa"/>
            <w:tcBorders/>
            <w:tcMar>
              <w:top w:w="50" w:type="dxa"/>
              <w:left w:w="100" w:type="dxa"/>
            </w:tcMar>
            <w:vAlign w:val="center"/>
          </w:tcPr>
          <w:p>
            <w:pPr>
              <w:spacing w:before="0" w:after="0"/>
              <w:ind w:left="135"/>
              <w:jc w:val="left"/>
            </w:pPr>
          </w:p>
        </w:tc>
      </w:tr>
      <w:tr>
        <w:trPr>
          <w:trHeight w:val="30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17" w:type="dxa"/>
            <w:tcBorders/>
            <w:tcMar>
              <w:top w:w="50" w:type="dxa"/>
              <w:left w:w="100" w:type="dxa"/>
            </w:tcMar>
            <w:vAlign w:val="center"/>
          </w:tcPr>
          <w:p>
            <w:pPr>
              <w:spacing w:before="0" w:after="0"/>
              <w:ind w:left="135"/>
              <w:jc w:val="left"/>
            </w:pPr>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7" w:type="dxa"/>
            <w:tcBorders/>
            <w:tcMar>
              <w:top w:w="50" w:type="dxa"/>
              <w:left w:w="100" w:type="dxa"/>
            </w:tcMar>
            <w:vAlign w:val="center"/>
          </w:tcPr>
          <w:p>
            <w:pPr>
              <w:spacing w:before="0" w:after="0"/>
              <w:ind w:left="135"/>
              <w:jc w:val="left"/>
            </w:pPr>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17" w:type="dxa"/>
            <w:tcBorders/>
            <w:tcMar>
              <w:top w:w="50" w:type="dxa"/>
              <w:left w:w="100" w:type="dxa"/>
            </w:tcMar>
            <w:vAlign w:val="center"/>
          </w:tcPr>
          <w:p>
            <w:pPr>
              <w:spacing w:before="0" w:after="0"/>
              <w:ind w:left="135"/>
              <w:jc w:val="left"/>
            </w:pPr>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917" w:type="dxa"/>
            <w:tcBorders/>
            <w:tcMar>
              <w:top w:w="50" w:type="dxa"/>
              <w:left w:w="100" w:type="dxa"/>
            </w:tcMar>
            <w:vAlign w:val="center"/>
          </w:tcPr>
          <w:p>
            <w:pPr>
              <w:spacing w:before="0" w:after="0"/>
              <w:ind w:left="135"/>
              <w:jc w:val="left"/>
            </w:pPr>
          </w:p>
        </w:tc>
      </w:tr>
      <w:tr>
        <w:trPr>
          <w:trHeight w:val="372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1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798466" w:id="23"/>
    <w:p>
      <w:pPr>
        <w:sectPr>
          <w:pgSz w:w="16383" w:h="11906" w:orient="landscape"/>
        </w:sectPr>
      </w:pPr>
    </w:p>
    <w:bookmarkEnd w:id="23"/>
    <w:bookmarkEnd w:id="22"/>
    <w:bookmarkStart w:name="block-26798467"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84bc9461-5945-455e-bb0e-0c5e149e6775" w:id="25"/>
      <w:r>
        <w:rPr>
          <w:rFonts w:ascii="Times New Roman" w:hAnsi="Times New Roman"/>
          <w:b w:val="false"/>
          <w:i w:val="false"/>
          <w:color w:val="000000"/>
          <w:sz w:val="28"/>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25"/>
      <w:r>
        <w:rPr>
          <w:sz w:val="28"/>
        </w:rPr>
        <w:br/>
      </w:r>
      <w:bookmarkStart w:name="84bc9461-5945-455e-bb0e-0c5e149e6775" w:id="26"/>
      <w:r>
        <w:rPr>
          <w:rFonts w:ascii="Times New Roman" w:hAnsi="Times New Roman"/>
          <w:b w:val="false"/>
          <w:i w:val="false"/>
          <w:color w:val="000000"/>
          <w:sz w:val="28"/>
        </w:rPr>
        <w:t xml:space="preserve"> • Математика: алгебра и начала математического анализа, геометрия. Алгебра и начала математического анализа, 10-11 классы/ Алимов Ш.А., Колягин Ю.М., Ткачева М.В. и другие, Акционерное общество «Издательство «Просвещение»</w:t>
      </w:r>
      <w:bookmarkEnd w:id="26"/>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956ead15-d30b-4553-b176-b0c943a4daa1" w:id="27"/>
      <w:r>
        <w:rPr>
          <w:rFonts w:ascii="Times New Roman" w:hAnsi="Times New Roman"/>
          <w:b w:val="false"/>
          <w:i w:val="false"/>
          <w:color w:val="000000"/>
          <w:sz w:val="28"/>
        </w:rPr>
        <w:t>Математика : алгебра и начала математического анализа, геометрия. Алгебра и начала математического анализа. Базовый уровень : 10 класс : методическое пособие / Е. В. Буцко, А. Г. Мерзляк, В. Б. Полонский, М. С. Якир. — М. : Вентана-Граф, 2020. — 113 с. : ил. — (Российский учебник).</w:t>
      </w:r>
      <w:bookmarkEnd w:id="27"/>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a38df3ac-bf82-4b9f-b5cd-98a1300f7f92" w:id="28"/>
      <w:r>
        <w:rPr>
          <w:rFonts w:ascii="Times New Roman" w:hAnsi="Times New Roman"/>
          <w:b w:val="false"/>
          <w:i w:val="false"/>
          <w:color w:val="000000"/>
          <w:sz w:val="28"/>
        </w:rPr>
        <w:t>Единое окно доступа к образовательным ресурсам http://window.edu.ru/</w:t>
      </w:r>
      <w:bookmarkEnd w:id="28"/>
      <w:r>
        <w:rPr>
          <w:sz w:val="28"/>
        </w:rPr>
        <w:br/>
      </w:r>
      <w:r>
        <w:rPr>
          <w:sz w:val="28"/>
        </w:rPr>
        <w:br/>
      </w:r>
      <w:bookmarkStart w:name="a38df3ac-bf82-4b9f-b5cd-98a1300f7f92" w:id="29"/>
      <w:r>
        <w:rPr>
          <w:rFonts w:ascii="Times New Roman" w:hAnsi="Times New Roman"/>
          <w:b w:val="false"/>
          <w:i w:val="false"/>
          <w:color w:val="000000"/>
          <w:sz w:val="28"/>
        </w:rPr>
        <w:t xml:space="preserve"> Единая коллекция цифровых образовательных ресурсов http://school-collection.edu.ru/</w:t>
      </w:r>
      <w:bookmarkEnd w:id="29"/>
      <w:r>
        <w:rPr>
          <w:sz w:val="28"/>
        </w:rPr>
        <w:br/>
      </w:r>
      <w:r>
        <w:rPr>
          <w:sz w:val="28"/>
        </w:rPr>
        <w:br/>
      </w:r>
      <w:bookmarkStart w:name="a38df3ac-bf82-4b9f-b5cd-98a1300f7f92" w:id="30"/>
      <w:r>
        <w:rPr>
          <w:rFonts w:ascii="Times New Roman" w:hAnsi="Times New Roman"/>
          <w:b w:val="false"/>
          <w:i w:val="false"/>
          <w:color w:val="000000"/>
          <w:sz w:val="28"/>
        </w:rPr>
        <w:t xml:space="preserve"> Общероссийский проект "Школа цифрового века" http://digital.1september.ru/</w:t>
      </w:r>
      <w:bookmarkEnd w:id="30"/>
      <w:r>
        <w:rPr>
          <w:sz w:val="28"/>
        </w:rPr>
        <w:br/>
      </w:r>
      <w:r>
        <w:rPr>
          <w:sz w:val="28"/>
        </w:rPr>
        <w:br/>
      </w:r>
      <w:bookmarkStart w:name="a38df3ac-bf82-4b9f-b5cd-98a1300f7f92" w:id="31"/>
      <w:r>
        <w:rPr>
          <w:rFonts w:ascii="Times New Roman" w:hAnsi="Times New Roman"/>
          <w:b w:val="false"/>
          <w:i w:val="false"/>
          <w:color w:val="000000"/>
          <w:sz w:val="28"/>
        </w:rPr>
        <w:t xml:space="preserve"> Федеральный центр информационно-образовательных ресурсов http://fcior.edu.ru/</w:t>
      </w:r>
      <w:bookmarkEnd w:id="31"/>
      <w:r>
        <w:rPr>
          <w:sz w:val="28"/>
        </w:rPr>
        <w:br/>
      </w:r>
      <w:r>
        <w:rPr>
          <w:sz w:val="28"/>
        </w:rPr>
        <w:br/>
      </w:r>
      <w:bookmarkStart w:name="a38df3ac-bf82-4b9f-b5cd-98a1300f7f92" w:id="32"/>
      <w:r>
        <w:rPr>
          <w:rFonts w:ascii="Times New Roman" w:hAnsi="Times New Roman"/>
          <w:b w:val="false"/>
          <w:i w:val="false"/>
          <w:color w:val="000000"/>
          <w:sz w:val="28"/>
        </w:rPr>
        <w:t xml:space="preserve"> Федеральный портал "Российское образование" http://www.edu.ru/</w:t>
      </w:r>
      <w:bookmarkEnd w:id="32"/>
      <w:r>
        <w:rPr>
          <w:sz w:val="28"/>
        </w:rPr>
        <w:br/>
      </w:r>
      <w:r>
        <w:rPr>
          <w:sz w:val="28"/>
        </w:rPr>
        <w:br/>
      </w:r>
      <w:bookmarkStart w:name="a38df3ac-bf82-4b9f-b5cd-98a1300f7f92" w:id="33"/>
      <w:r>
        <w:rPr>
          <w:rFonts w:ascii="Times New Roman" w:hAnsi="Times New Roman"/>
          <w:b w:val="false"/>
          <w:i w:val="false"/>
          <w:color w:val="000000"/>
          <w:sz w:val="28"/>
        </w:rPr>
        <w:t xml:space="preserve"> Учи.ру - интерактивная онлайн-платформа - https://uchi.ru/ </w:t>
      </w:r>
      <w:bookmarkEnd w:id="33"/>
      <w:r>
        <w:rPr>
          <w:sz w:val="28"/>
        </w:rPr>
        <w:br/>
      </w:r>
      <w:r>
        <w:rPr>
          <w:sz w:val="28"/>
        </w:rPr>
        <w:br/>
      </w:r>
      <w:bookmarkStart w:name="a38df3ac-bf82-4b9f-b5cd-98a1300f7f92" w:id="34"/>
      <w:r>
        <w:rPr>
          <w:rFonts w:ascii="Times New Roman" w:hAnsi="Times New Roman"/>
          <w:b w:val="false"/>
          <w:i w:val="false"/>
          <w:color w:val="000000"/>
          <w:sz w:val="28"/>
        </w:rPr>
        <w:t xml:space="preserve"> Бесплатная цифровая платформа для обучения основным школьным предметам - https://education.yandex.ru/main/ </w:t>
      </w:r>
      <w:bookmarkEnd w:id="34"/>
    </w:p>
    <w:bookmarkStart w:name="block-26798467" w:id="35"/>
    <w:p>
      <w:pPr>
        <w:sectPr>
          <w:pgSz w:w="11906" w:h="16383" w:orient="portrait"/>
        </w:sectPr>
      </w:pPr>
    </w:p>
    <w:bookmarkEnd w:id="35"/>
    <w:bookmarkEnd w:id="24"/>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