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6C" w:rsidRPr="00E60AE4" w:rsidRDefault="002D5B1C" w:rsidP="00E60AE4">
      <w:pPr>
        <w:pStyle w:val="1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 xml:space="preserve">Инструкция участника олимпиады по использованию платформы </w:t>
      </w:r>
      <w:proofErr w:type="spellStart"/>
      <w:r w:rsidRPr="00E60AE4">
        <w:rPr>
          <w:rFonts w:ascii="Times New Roman" w:hAnsi="Times New Roman" w:cs="Times New Roman"/>
          <w:sz w:val="20"/>
          <w:szCs w:val="20"/>
        </w:rPr>
        <w:t>Яндекс.Контест</w:t>
      </w:r>
      <w:proofErr w:type="spellEnd"/>
      <w:r w:rsidRPr="00E60AE4">
        <w:rPr>
          <w:rFonts w:ascii="Times New Roman" w:hAnsi="Times New Roman" w:cs="Times New Roman"/>
          <w:sz w:val="20"/>
          <w:szCs w:val="20"/>
        </w:rPr>
        <w:t>.</w:t>
      </w:r>
    </w:p>
    <w:p w:rsidR="00B7246C" w:rsidRPr="00E60AE4" w:rsidRDefault="002D5B1C" w:rsidP="00E60AE4">
      <w:pPr>
        <w:pStyle w:val="2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Подготовка к использованию автоматической тестирующей системы</w:t>
      </w:r>
    </w:p>
    <w:p w:rsidR="00B7246C" w:rsidRPr="00E60AE4" w:rsidRDefault="002D5B1C" w:rsidP="00E60AE4">
      <w:pPr>
        <w:jc w:val="both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Организаторами олимпиады для вас подготовлен набор задач, которые станут доступны сразу после начала олимпиады. Для того, чтобы вы сразу могли приступить к решению задач откройте предоставленную организаторами ссылку на предстоящее соревнование.</w:t>
      </w:r>
      <w:r w:rsidR="00E60AE4">
        <w:rPr>
          <w:rFonts w:ascii="Times New Roman" w:hAnsi="Times New Roman" w:cs="Times New Roman"/>
          <w:sz w:val="20"/>
          <w:szCs w:val="20"/>
        </w:rPr>
        <w:t xml:space="preserve"> </w:t>
      </w:r>
      <w:r w:rsidRPr="00E60AE4">
        <w:rPr>
          <w:rFonts w:ascii="Times New Roman" w:hAnsi="Times New Roman" w:cs="Times New Roman"/>
          <w:sz w:val="20"/>
          <w:szCs w:val="20"/>
        </w:rPr>
        <w:t>Ссылка на соревнование может иметь вид</w:t>
      </w:r>
    </w:p>
    <w:p w:rsidR="00B7246C" w:rsidRPr="00C461DF" w:rsidRDefault="001B34E0" w:rsidP="00E60AE4">
      <w:pPr>
        <w:jc w:val="both"/>
        <w:rPr>
          <w:rStyle w:val="InternetLink"/>
        </w:rPr>
      </w:pPr>
      <w:hyperlink r:id="rId5">
        <w:r w:rsidR="002D5B1C" w:rsidRPr="00E60AE4">
          <w:rPr>
            <w:rStyle w:val="InternetLink"/>
            <w:rFonts w:ascii="Times New Roman" w:hAnsi="Times New Roman" w:cs="Times New Roman"/>
            <w:sz w:val="20"/>
            <w:szCs w:val="20"/>
          </w:rPr>
          <w:t>https://official.contest.yandex.ru/contest/</w:t>
        </w:r>
      </w:hyperlink>
      <w:r w:rsidR="00C461DF" w:rsidRPr="00C461DF">
        <w:rPr>
          <w:rStyle w:val="InternetLink"/>
          <w:rFonts w:ascii="Times New Roman" w:hAnsi="Times New Roman" w:cs="Times New Roman"/>
          <w:sz w:val="20"/>
          <w:szCs w:val="20"/>
        </w:rPr>
        <w:t>xxxx</w:t>
      </w:r>
    </w:p>
    <w:p w:rsidR="00B7246C" w:rsidRPr="00E60AE4" w:rsidRDefault="002D5B1C" w:rsidP="00E60AE4">
      <w:pPr>
        <w:jc w:val="both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Будьте внимательны, убедитесь в правильности ввода адреса соревнования.</w:t>
      </w:r>
      <w:r w:rsidR="00E60AE4">
        <w:rPr>
          <w:rFonts w:ascii="Times New Roman" w:hAnsi="Times New Roman" w:cs="Times New Roman"/>
          <w:sz w:val="20"/>
          <w:szCs w:val="20"/>
        </w:rPr>
        <w:t xml:space="preserve"> </w:t>
      </w:r>
      <w:r w:rsidRPr="00E60AE4">
        <w:rPr>
          <w:rFonts w:ascii="Times New Roman" w:hAnsi="Times New Roman" w:cs="Times New Roman"/>
          <w:sz w:val="20"/>
          <w:szCs w:val="20"/>
        </w:rPr>
        <w:t>После перехода по ссылке будет открыта страница соревнования</w:t>
      </w:r>
      <w:proofErr w:type="gramStart"/>
      <w:r w:rsidR="00E60AE4">
        <w:rPr>
          <w:rFonts w:ascii="Times New Roman" w:hAnsi="Times New Roman" w:cs="Times New Roman"/>
          <w:sz w:val="20"/>
          <w:szCs w:val="20"/>
        </w:rPr>
        <w:t xml:space="preserve"> </w:t>
      </w:r>
      <w:r w:rsidRPr="00E60AE4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E60AE4">
        <w:rPr>
          <w:rFonts w:ascii="Times New Roman" w:hAnsi="Times New Roman" w:cs="Times New Roman"/>
          <w:sz w:val="20"/>
          <w:szCs w:val="20"/>
        </w:rPr>
        <w:t>сли вы не авторизованы на платформе, то будет выведено приглашение к авторизации: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33900" cy="978508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594" cy="98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C" w:rsidRPr="00E60AE4" w:rsidRDefault="002D5B1C" w:rsidP="00E60AE4">
      <w:pPr>
        <w:jc w:val="both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Авторизуйтесь с помощью выданного вам организаторами пароля и логина. Если при авторизации выдается ошибка, то проверьте правильность ввода логина и пароля. Обратите внимание, что при распечатке логина и пароля некоторым шрифтами могут не различаться цифра «ноль» и буква «О», строчная буква «l» (эль) и прописная «I» (ай) и т. д. Поэтому при неудачной попытке авторизации необходимо подобрать правильную комбинацию таких букв, при их наличии в логине или пароле.</w:t>
      </w:r>
    </w:p>
    <w:p w:rsidR="00B7246C" w:rsidRPr="00E60AE4" w:rsidRDefault="002D5B1C" w:rsidP="00E60AE4">
      <w:pPr>
        <w:jc w:val="both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Если после авторизации вы увидите сообщение об отсутствии прав для просмотра соревнования, скорее всего вами была допущена ошибка при вводе адреса соревнования.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38675" cy="563285"/>
            <wp:effectExtent l="0" t="0" r="0" b="8255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389" cy="56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Если соревнование еще не началось, то вы увидите обратный отсчет до начала соревнования.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62475" cy="193228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90" cy="193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C" w:rsidRPr="00E60AE4" w:rsidRDefault="002D5B1C" w:rsidP="00E60AE4">
      <w:pPr>
        <w:jc w:val="both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Обратный отсчет означает что вы верно авторизовались и после старта соревнования вам будут доступны условия и интерфейс участия в соревновании. Удачи!</w:t>
      </w:r>
    </w:p>
    <w:p w:rsidR="00B7246C" w:rsidRPr="00E60AE4" w:rsidRDefault="002D5B1C" w:rsidP="00E60AE4">
      <w:pPr>
        <w:pStyle w:val="2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 xml:space="preserve">Тестирующая система во время соревнований </w:t>
      </w:r>
    </w:p>
    <w:p w:rsidR="00B7246C" w:rsidRPr="00E60AE4" w:rsidRDefault="002D5B1C" w:rsidP="00E60AE4">
      <w:pPr>
        <w:jc w:val="both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После начала соревнования вы в любой момент сможете узнать статус соревнования, нажав на его название.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33900" cy="1447649"/>
            <wp:effectExtent l="0" t="0" r="0" b="635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471" cy="145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На всех страницах соревнования вы увидите ключевые элементы управления соревнованием</w:t>
      </w:r>
    </w:p>
    <w:p w:rsidR="00B7246C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57675" cy="1359452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926" cy="136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E4" w:rsidRDefault="00E60AE4" w:rsidP="00E60AE4">
      <w:pPr>
        <w:rPr>
          <w:rFonts w:ascii="Times New Roman" w:hAnsi="Times New Roman" w:cs="Times New Roman"/>
          <w:sz w:val="20"/>
          <w:szCs w:val="20"/>
        </w:rPr>
      </w:pPr>
    </w:p>
    <w:p w:rsidR="00935A03" w:rsidRPr="00E60AE4" w:rsidRDefault="00935A03" w:rsidP="00E60AE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7246C" w:rsidRPr="00E60AE4" w:rsidRDefault="002D5B1C" w:rsidP="00E60AE4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lastRenderedPageBreak/>
        <w:t xml:space="preserve">Название соревнования. </w:t>
      </w:r>
    </w:p>
    <w:p w:rsidR="00B7246C" w:rsidRPr="00E60AE4" w:rsidRDefault="002D5B1C" w:rsidP="00E60AE4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Оставшееся до конца соревнования время</w:t>
      </w:r>
    </w:p>
    <w:p w:rsidR="00B7246C" w:rsidRPr="00E60AE4" w:rsidRDefault="002D5B1C" w:rsidP="00E60AE4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Кнопка для просмотра оповещений жюри (становится доступной, если членами жюри было отправлено общее уведомление)</w:t>
      </w:r>
    </w:p>
    <w:p w:rsidR="00B7246C" w:rsidRPr="00E60AE4" w:rsidRDefault="002D5B1C" w:rsidP="00E60AE4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 xml:space="preserve">Ссылка для скачивания условий соревнования </w:t>
      </w:r>
    </w:p>
    <w:p w:rsidR="00B7246C" w:rsidRPr="00E60AE4" w:rsidRDefault="002D5B1C" w:rsidP="00E60AE4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Страница задач</w:t>
      </w:r>
    </w:p>
    <w:p w:rsidR="00B7246C" w:rsidRPr="00E60AE4" w:rsidRDefault="002D5B1C" w:rsidP="00E60AE4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Список всех отправленных на проверку решений по всем задачам</w:t>
      </w:r>
    </w:p>
    <w:p w:rsidR="00B7246C" w:rsidRPr="00E60AE4" w:rsidRDefault="002D5B1C" w:rsidP="00E60AE4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Страница для отправки вопросов в жюри и получения ответов на них</w:t>
      </w:r>
    </w:p>
    <w:p w:rsidR="00B7246C" w:rsidRPr="00E60AE4" w:rsidRDefault="002D5B1C" w:rsidP="00E60AE4">
      <w:pPr>
        <w:pStyle w:val="3"/>
        <w:spacing w:before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Страница задач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После нажатия на ссылку «Задачи» будет открыта страница первой из представленных в соревновании задач.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52925" cy="1786305"/>
            <wp:effectExtent l="0" t="0" r="0" b="4445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461" cy="179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C" w:rsidRPr="00E60AE4" w:rsidRDefault="002D5B1C" w:rsidP="00E60AE4">
      <w:pPr>
        <w:jc w:val="both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Справа находятся ссылки для перехода между задачами. В любой момент соревнования вы можете перейти к любой из предложенных задач.</w:t>
      </w:r>
      <w:r w:rsidR="00E60AE4">
        <w:rPr>
          <w:rFonts w:ascii="Times New Roman" w:hAnsi="Times New Roman" w:cs="Times New Roman"/>
          <w:sz w:val="20"/>
          <w:szCs w:val="20"/>
        </w:rPr>
        <w:t xml:space="preserve"> </w:t>
      </w:r>
      <w:r w:rsidRPr="00E60AE4">
        <w:rPr>
          <w:rFonts w:ascii="Times New Roman" w:hAnsi="Times New Roman" w:cs="Times New Roman"/>
          <w:sz w:val="20"/>
          <w:szCs w:val="20"/>
        </w:rPr>
        <w:t>Ниже условия задачи располагается форма для отправки решения задачи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43400" cy="1367324"/>
            <wp:effectExtent l="0" t="0" r="0" b="4445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16" cy="137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Чтобы отправить задачу на проверку</w:t>
      </w:r>
    </w:p>
    <w:p w:rsidR="00B7246C" w:rsidRPr="00E60AE4" w:rsidRDefault="002D5B1C" w:rsidP="00E60AE4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Выберите использованный язык программирования из предложенных.</w:t>
      </w:r>
    </w:p>
    <w:p w:rsidR="00B7246C" w:rsidRPr="00E60AE4" w:rsidRDefault="002D5B1C" w:rsidP="00E60AE4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Нажмите на кнопку «Выбрать» и выберите на вашем компьютере файл с исходным кодом решения задачи. Не отправляйте уже скомпилированные решения или результаты.</w:t>
      </w:r>
    </w:p>
    <w:p w:rsidR="00B7246C" w:rsidRPr="00E60AE4" w:rsidRDefault="002D5B1C" w:rsidP="00E60AE4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Убедитесь в правильности выбранного языка программирования и файла.</w:t>
      </w:r>
    </w:p>
    <w:p w:rsidR="00B7246C" w:rsidRPr="00E60AE4" w:rsidRDefault="002D5B1C" w:rsidP="00E60AE4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Нажмите кнопку «Отправить».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После отправки решения оно добавится в список посылок по текущей задаче, который располагается ниже формы для отправки решения задачи.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81500" cy="1236468"/>
            <wp:effectExtent l="0" t="0" r="0" b="1905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999" cy="124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C" w:rsidRPr="00E60AE4" w:rsidRDefault="002D5B1C" w:rsidP="00E60AE4">
      <w:pPr>
        <w:jc w:val="both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В некоторых случаях для проверки задачи системой требуется до 15 минут. Вы можете увидеть вердикт тестирования сразу по его окончанию.  При проверке задача запускается многократно с различными входными данными. За прохождение каждого теста начисляется некоторое количество баллов. Для получения полного балла по задаче необходимо пройти все тесты к ней. Кроме краткой информации об отправленном решении вы можете посмотреть подробный отчет о тестировании, нажав на ссылку «отчет» справа в строчке посылки.</w:t>
      </w:r>
    </w:p>
    <w:p w:rsidR="00B7246C" w:rsidRPr="00E60AE4" w:rsidRDefault="002D5B1C" w:rsidP="00E60AE4">
      <w:pPr>
        <w:pStyle w:val="3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Страница посылок</w:t>
      </w:r>
    </w:p>
    <w:p w:rsidR="00B7246C" w:rsidRPr="00E60AE4" w:rsidRDefault="002D5B1C" w:rsidP="00E60AE4">
      <w:pPr>
        <w:jc w:val="both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На странице посылок располагается полный список всех ваших посылок по всем задачам, а также форма для отправки решения задачи, аналогичная форме со страницы задачи, но с дополнительным полем выбора задачи.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33875" cy="1314450"/>
            <wp:effectExtent l="0" t="0" r="9525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r="200" b="7341"/>
                    <a:stretch/>
                  </pic:blipFill>
                  <pic:spPr bwMode="auto">
                    <a:xfrm>
                      <a:off x="0" y="0"/>
                      <a:ext cx="4347348" cy="131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246C" w:rsidRPr="00E60AE4" w:rsidRDefault="002D5B1C" w:rsidP="00E60AE4">
      <w:pPr>
        <w:pStyle w:val="3"/>
        <w:spacing w:before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Страница сообщений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 xml:space="preserve">Чтобы задать вопрос по условию или общий вопрос по соревнованию вы можете использовать страницу сообщений. 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95775" cy="1283452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89" cy="128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Введите тему вопроса, выберите является ли вопрос общим или относится к одной из задач соревнования, введите текст сообщения и нажмите «Отправить».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После отправки сообщения в жюри оно будет выведено в нижней части страницы сообщений.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77504" cy="1638300"/>
            <wp:effectExtent l="0" t="0" r="889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72" cy="163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После того, как жюри обработает ваш вопрос, рядом с вопросом будет отображен ответ: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57675" cy="745491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425" cy="74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Кроме ответов на личные сообщения жюри может отправить общее уведомление. Они используются для того, чтобы внести комментарии в условия задач или оповестить всех участников о важной информации. Такие сообщения будут отображаться красным кружком в шапке соревнования: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19575" cy="614781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694" cy="62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60AE4">
        <w:rPr>
          <w:rFonts w:ascii="Times New Roman" w:hAnsi="Times New Roman" w:cs="Times New Roman"/>
          <w:sz w:val="20"/>
          <w:szCs w:val="20"/>
        </w:rPr>
        <w:t>Чтобы просмотреть его нажмите на кнопку «Объявления жюри»: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00525" cy="676664"/>
            <wp:effectExtent l="0" t="0" r="0" b="9525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73" cy="68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C" w:rsidRPr="00E60AE4" w:rsidRDefault="002D5B1C" w:rsidP="00E60AE4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Возможные вердикты тестирующей системы</w:t>
      </w:r>
    </w:p>
    <w:p w:rsidR="00B7246C" w:rsidRPr="00E60AE4" w:rsidRDefault="002D5B1C" w:rsidP="00E60AE4">
      <w:pPr>
        <w:rPr>
          <w:rFonts w:ascii="Times New Roman" w:hAnsi="Times New Roman" w:cs="Times New Roman"/>
          <w:sz w:val="20"/>
          <w:szCs w:val="20"/>
        </w:rPr>
      </w:pPr>
      <w:r w:rsidRPr="00E60AE4">
        <w:rPr>
          <w:rFonts w:ascii="Times New Roman" w:hAnsi="Times New Roman" w:cs="Times New Roman"/>
          <w:sz w:val="20"/>
          <w:szCs w:val="20"/>
        </w:rPr>
        <w:t>Тестирующая система отмечает каждую из посылок одним из следующих вердиктов:</w:t>
      </w:r>
    </w:p>
    <w:tbl>
      <w:tblPr>
        <w:tblW w:w="10160" w:type="dxa"/>
        <w:tblInd w:w="143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top w:w="75" w:type="dxa"/>
          <w:left w:w="134" w:type="dxa"/>
          <w:bottom w:w="60" w:type="dxa"/>
          <w:right w:w="150" w:type="dxa"/>
        </w:tblCellMar>
        <w:tblLook w:val="04A0"/>
      </w:tblPr>
      <w:tblGrid>
        <w:gridCol w:w="1565"/>
        <w:gridCol w:w="2204"/>
        <w:gridCol w:w="3869"/>
        <w:gridCol w:w="2522"/>
      </w:tblGrid>
      <w:tr w:rsidR="00B7246C" w:rsidRPr="00E60AE4" w:rsidTr="00E60AE4">
        <w:trPr>
          <w:trHeight w:val="261"/>
          <w:tblHeader/>
        </w:trPr>
        <w:tc>
          <w:tcPr>
            <w:tcW w:w="15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</w:p>
        </w:tc>
        <w:tc>
          <w:tcPr>
            <w:tcW w:w="38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Значение вердикта</w:t>
            </w: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Возможная причина</w:t>
            </w:r>
          </w:p>
        </w:tc>
      </w:tr>
      <w:tr w:rsidR="00B7246C" w:rsidRPr="00E60AE4" w:rsidTr="00E60AE4">
        <w:trPr>
          <w:trHeight w:val="1017"/>
        </w:trPr>
        <w:tc>
          <w:tcPr>
            <w:tcW w:w="15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38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Решение полностью зачтено</w:t>
            </w: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Программа верно работает на соответствующем наборе тестов</w:t>
            </w:r>
          </w:p>
        </w:tc>
      </w:tr>
      <w:tr w:rsidR="00B7246C" w:rsidRPr="00E60AE4" w:rsidTr="00E60AE4">
        <w:trPr>
          <w:trHeight w:val="508"/>
        </w:trPr>
        <w:tc>
          <w:tcPr>
            <w:tcW w:w="15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Тесты из условия пройдены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Тесты из условия пройдены</w:t>
            </w:r>
          </w:p>
        </w:tc>
        <w:tc>
          <w:tcPr>
            <w:tcW w:w="38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Решение зачтено</w:t>
            </w: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Программа верно работает на наборе тестов из условия</w:t>
            </w:r>
          </w:p>
        </w:tc>
      </w:tr>
      <w:tr w:rsidR="00B7246C" w:rsidRPr="00E60AE4" w:rsidTr="00E60AE4">
        <w:trPr>
          <w:trHeight w:val="1279"/>
        </w:trPr>
        <w:tc>
          <w:tcPr>
            <w:tcW w:w="15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Compilation</w:t>
            </w:r>
            <w:proofErr w:type="spellEnd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38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Компиляция программы завершилась с ошибкой</w:t>
            </w: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1. в программе допущена синтаксическая или семантическая ошибка</w:t>
            </w:r>
            <w:r w:rsidRPr="00E60AE4">
              <w:rPr>
                <w:rFonts w:ascii="Times New Roman" w:hAnsi="Times New Roman" w:cs="Times New Roman"/>
                <w:sz w:val="20"/>
                <w:szCs w:val="20"/>
              </w:rPr>
              <w:br/>
              <w:t>2. неправильно указан язык</w:t>
            </w:r>
          </w:p>
        </w:tc>
      </w:tr>
      <w:tr w:rsidR="00B7246C" w:rsidRPr="00E60AE4" w:rsidTr="00E60AE4">
        <w:trPr>
          <w:trHeight w:val="508"/>
        </w:trPr>
        <w:tc>
          <w:tcPr>
            <w:tcW w:w="15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Wrong</w:t>
            </w:r>
            <w:proofErr w:type="spellEnd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answer</w:t>
            </w:r>
            <w:proofErr w:type="spellEnd"/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38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Ответ неверен</w:t>
            </w: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 xml:space="preserve">1. ошибка в программе </w:t>
            </w:r>
            <w:r w:rsidRPr="00E60AE4">
              <w:rPr>
                <w:rFonts w:ascii="Times New Roman" w:hAnsi="Times New Roman" w:cs="Times New Roman"/>
                <w:sz w:val="20"/>
                <w:szCs w:val="20"/>
              </w:rPr>
              <w:br/>
              <w:t>2. неверный алгоритм</w:t>
            </w:r>
          </w:p>
        </w:tc>
      </w:tr>
      <w:tr w:rsidR="00B7246C" w:rsidRPr="00E60AE4" w:rsidTr="00E60AE4">
        <w:trPr>
          <w:trHeight w:val="1032"/>
        </w:trPr>
        <w:tc>
          <w:tcPr>
            <w:tcW w:w="15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38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Тестирующая система не может проверить выходные данные, так как их формат не соответствует описанному в условиях задачи</w:t>
            </w: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1. неверный формат вывода 2. программа не печатает результат</w:t>
            </w:r>
            <w:r w:rsidRPr="00E60AE4">
              <w:rPr>
                <w:rFonts w:ascii="Times New Roman" w:hAnsi="Times New Roman" w:cs="Times New Roman"/>
                <w:sz w:val="20"/>
                <w:szCs w:val="20"/>
              </w:rPr>
              <w:br/>
              <w:t>3. лишний вывод</w:t>
            </w:r>
          </w:p>
        </w:tc>
      </w:tr>
      <w:tr w:rsidR="00B7246C" w:rsidRPr="00E60AE4" w:rsidTr="00E60AE4">
        <w:trPr>
          <w:trHeight w:val="770"/>
        </w:trPr>
        <w:tc>
          <w:tcPr>
            <w:tcW w:w="15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Time-limit</w:t>
            </w:r>
            <w:proofErr w:type="spellEnd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exceeded</w:t>
            </w:r>
            <w:proofErr w:type="spellEnd"/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38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Программа превысила установленный лимит времени</w:t>
            </w: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1. ошибка в программе</w:t>
            </w:r>
            <w:r w:rsidRPr="00E60AE4">
              <w:rPr>
                <w:rFonts w:ascii="Times New Roman" w:hAnsi="Times New Roman" w:cs="Times New Roman"/>
                <w:sz w:val="20"/>
                <w:szCs w:val="20"/>
              </w:rPr>
              <w:br/>
              <w:t>2. неэффективное решение</w:t>
            </w:r>
          </w:p>
        </w:tc>
      </w:tr>
      <w:tr w:rsidR="00B7246C" w:rsidRPr="00E60AE4" w:rsidTr="00E60AE4">
        <w:trPr>
          <w:trHeight w:val="1279"/>
        </w:trPr>
        <w:tc>
          <w:tcPr>
            <w:tcW w:w="15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  <w:proofErr w:type="spellEnd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exceeded</w:t>
            </w:r>
            <w:proofErr w:type="spellEnd"/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38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Программа превысила установленный в условиях лимит памяти</w:t>
            </w: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1. ошибка в программе (например, бесконечная рекурсия)</w:t>
            </w:r>
            <w:r w:rsidRPr="00E60AE4">
              <w:rPr>
                <w:rFonts w:ascii="Times New Roman" w:hAnsi="Times New Roman" w:cs="Times New Roman"/>
                <w:sz w:val="20"/>
                <w:szCs w:val="20"/>
              </w:rPr>
              <w:br/>
              <w:t>2. неэффективное решение</w:t>
            </w:r>
          </w:p>
        </w:tc>
      </w:tr>
      <w:tr w:rsidR="00B7246C" w:rsidRPr="00E60AE4" w:rsidTr="00E60AE4">
        <w:trPr>
          <w:trHeight w:val="1541"/>
        </w:trPr>
        <w:tc>
          <w:tcPr>
            <w:tcW w:w="15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Run-time</w:t>
            </w:r>
            <w:proofErr w:type="spellEnd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</w:p>
        </w:tc>
        <w:tc>
          <w:tcPr>
            <w:tcW w:w="38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Программа завершила работу с ненулевым кодом возврата</w:t>
            </w:r>
          </w:p>
        </w:tc>
        <w:tc>
          <w:tcPr>
            <w:tcW w:w="252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left w:w="134" w:type="dxa"/>
            </w:tcMar>
            <w:vAlign w:val="center"/>
          </w:tcPr>
          <w:p w:rsidR="00B7246C" w:rsidRPr="00E60AE4" w:rsidRDefault="002D5B1C" w:rsidP="00E6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1. ошибка выполнения</w:t>
            </w:r>
            <w:r w:rsidRPr="00E60A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программа на C или C++ не завершается оператором </w:t>
            </w:r>
            <w:proofErr w:type="spellStart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E60AE4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E60AE4">
              <w:rPr>
                <w:rFonts w:ascii="Times New Roman" w:hAnsi="Times New Roman" w:cs="Times New Roman"/>
                <w:sz w:val="20"/>
                <w:szCs w:val="20"/>
              </w:rPr>
              <w:br/>
              <w:t>3. ненулевой код возврата указан явно</w:t>
            </w:r>
          </w:p>
        </w:tc>
      </w:tr>
    </w:tbl>
    <w:p w:rsidR="00B7246C" w:rsidRPr="00E60AE4" w:rsidRDefault="00B7246C" w:rsidP="00E60AE4">
      <w:pPr>
        <w:rPr>
          <w:rFonts w:ascii="Times New Roman" w:hAnsi="Times New Roman" w:cs="Times New Roman"/>
          <w:sz w:val="20"/>
          <w:szCs w:val="20"/>
        </w:rPr>
      </w:pPr>
    </w:p>
    <w:p w:rsidR="00B7246C" w:rsidRDefault="002D5B1C" w:rsidP="00E60AE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0AE4">
        <w:rPr>
          <w:rFonts w:ascii="Times New Roman" w:hAnsi="Times New Roman" w:cs="Times New Roman"/>
          <w:sz w:val="20"/>
          <w:szCs w:val="20"/>
        </w:rPr>
        <w:t xml:space="preserve">Обратите внимание, что входные файлы в системе </w:t>
      </w:r>
      <w:proofErr w:type="spellStart"/>
      <w:r w:rsidRPr="00E60AE4">
        <w:rPr>
          <w:rFonts w:ascii="Times New Roman" w:hAnsi="Times New Roman" w:cs="Times New Roman"/>
          <w:sz w:val="20"/>
          <w:szCs w:val="20"/>
        </w:rPr>
        <w:t>Яндекс.Контест</w:t>
      </w:r>
      <w:proofErr w:type="spellEnd"/>
      <w:r w:rsidRPr="00E60AE4">
        <w:rPr>
          <w:rFonts w:ascii="Times New Roman" w:hAnsi="Times New Roman" w:cs="Times New Roman"/>
          <w:sz w:val="20"/>
          <w:szCs w:val="20"/>
        </w:rPr>
        <w:t xml:space="preserve"> имеют формат переноса строк </w:t>
      </w:r>
      <w:proofErr w:type="spellStart"/>
      <w:r w:rsidRPr="00E60AE4">
        <w:rPr>
          <w:rFonts w:ascii="Times New Roman" w:hAnsi="Times New Roman" w:cs="Times New Roman"/>
          <w:sz w:val="20"/>
          <w:szCs w:val="20"/>
        </w:rPr>
        <w:t>Unix</w:t>
      </w:r>
      <w:proofErr w:type="spellEnd"/>
      <w:r w:rsidRPr="00E60AE4">
        <w:rPr>
          <w:rFonts w:ascii="Times New Roman" w:hAnsi="Times New Roman" w:cs="Times New Roman"/>
          <w:sz w:val="20"/>
          <w:szCs w:val="20"/>
        </w:rPr>
        <w:t xml:space="preserve">, т. е. строки заканчиваются одним байтом 10 (\n). Стандартные процедуры и функции чтения переменных (чисел, символов, строк) из файла будут учитывать это. Однако если ваша программа читает файл по одному байту и явно обрабатывает формат переноса строк </w:t>
      </w:r>
      <w:proofErr w:type="spellStart"/>
      <w:r w:rsidRPr="00E60AE4">
        <w:rPr>
          <w:rFonts w:ascii="Times New Roman" w:hAnsi="Times New Roman" w:cs="Times New Roman"/>
          <w:sz w:val="20"/>
          <w:szCs w:val="20"/>
        </w:rPr>
        <w:t>Windows</w:t>
      </w:r>
      <w:proofErr w:type="spellEnd"/>
      <w:r w:rsidRPr="00E60AE4">
        <w:rPr>
          <w:rFonts w:ascii="Times New Roman" w:hAnsi="Times New Roman" w:cs="Times New Roman"/>
          <w:sz w:val="20"/>
          <w:szCs w:val="20"/>
        </w:rPr>
        <w:t>, т. е. строки заканчиваются двумя байтами 13 10 (\r\n), то некорректная обработка концов строк может привести к получению вердикта WA или PE.</w:t>
      </w:r>
    </w:p>
    <w:p w:rsidR="00B86DFB" w:rsidRPr="00B86DFB" w:rsidRDefault="00B86DFB" w:rsidP="00E60AE4">
      <w:pPr>
        <w:jc w:val="both"/>
        <w:rPr>
          <w:rFonts w:ascii="Times New Roman" w:hAnsi="Times New Roman" w:cs="Times New Roman"/>
          <w:sz w:val="20"/>
          <w:szCs w:val="20"/>
        </w:rPr>
      </w:pPr>
      <w:r w:rsidRPr="00B86DFB">
        <w:rPr>
          <w:rFonts w:ascii="Times New Roman" w:hAnsi="Times New Roman" w:cs="Times New Roman"/>
          <w:sz w:val="20"/>
          <w:szCs w:val="20"/>
        </w:rPr>
        <w:t xml:space="preserve">Во время проведения олимпиады и после её завершения участникам доступна таблица результатов всех участников данного соревнования. </w:t>
      </w:r>
      <w:r>
        <w:rPr>
          <w:rFonts w:ascii="Times New Roman" w:hAnsi="Times New Roman" w:cs="Times New Roman"/>
          <w:sz w:val="20"/>
          <w:szCs w:val="20"/>
        </w:rPr>
        <w:t>Обратите внимание, что доступны для просмотра результаты участников всех муниципалитетов. Для того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чтобы ограничить просмотр только результатами участников данного муниципалитета, необходимо в окне фильтрации над столбцом логинов участников ввести префикс логинов участников данного муниципалитета, например</w:t>
      </w:r>
      <w:r w:rsidRPr="00B86DFB">
        <w:rPr>
          <w:rFonts w:ascii="Times New Roman" w:hAnsi="Times New Roman" w:cs="Times New Roman"/>
          <w:sz w:val="20"/>
          <w:szCs w:val="20"/>
        </w:rPr>
        <w:t>:</w:t>
      </w:r>
    </w:p>
    <w:p w:rsidR="00B86DFB" w:rsidRDefault="00B86DFB" w:rsidP="00B86DFB">
      <w:pPr>
        <w:ind w:firstLine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kk_krd</w:t>
      </w:r>
      <w:proofErr w:type="spellEnd"/>
    </w:p>
    <w:p w:rsidR="00B86DFB" w:rsidRDefault="00B86DFB" w:rsidP="00B86DF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Также можно ограничить таблицу результатов ещё и классом, добавив в префикс номер класса:</w:t>
      </w:r>
    </w:p>
    <w:p w:rsidR="00B86DFB" w:rsidRDefault="00B86DFB" w:rsidP="00B86DFB">
      <w:pPr>
        <w:ind w:firstLine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kk_krd_11</w:t>
      </w:r>
    </w:p>
    <w:p w:rsidR="00B86DFB" w:rsidRPr="00B86DFB" w:rsidRDefault="00B86DFB" w:rsidP="00B86DF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86DFB" w:rsidRPr="00B86DFB" w:rsidSect="00E60AE4">
      <w:pgSz w:w="11906" w:h="16838"/>
      <w:pgMar w:top="142" w:right="282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EBD"/>
    <w:multiLevelType w:val="multilevel"/>
    <w:tmpl w:val="C6F8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CBF"/>
    <w:multiLevelType w:val="multilevel"/>
    <w:tmpl w:val="7A50E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02B3"/>
    <w:multiLevelType w:val="multilevel"/>
    <w:tmpl w:val="6DFCC3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46C"/>
    <w:rsid w:val="001B34E0"/>
    <w:rsid w:val="002D5B1C"/>
    <w:rsid w:val="00935A03"/>
    <w:rsid w:val="00B7246C"/>
    <w:rsid w:val="00B86DFB"/>
    <w:rsid w:val="00C461DF"/>
    <w:rsid w:val="00E6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57"/>
    <w:pPr>
      <w:suppressAutoHyphens/>
    </w:pPr>
    <w:rPr>
      <w:color w:val="00000A"/>
      <w:sz w:val="22"/>
    </w:rPr>
  </w:style>
  <w:style w:type="paragraph" w:styleId="1">
    <w:name w:val="heading 1"/>
    <w:basedOn w:val="a"/>
    <w:uiPriority w:val="9"/>
    <w:qFormat/>
    <w:rsid w:val="003D4C5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3D4C5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rsid w:val="003D4C57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rsid w:val="003D4C5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0"/>
    <w:uiPriority w:val="9"/>
    <w:rsid w:val="003D4C5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E73051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rsid w:val="00E730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0"/>
    <w:uiPriority w:val="9"/>
    <w:rsid w:val="003D4C57"/>
    <w:rPr>
      <w:rFonts w:ascii="Arial" w:eastAsiaTheme="majorEastAsia" w:hAnsi="Arial" w:cstheme="majorBidi"/>
      <w:b/>
      <w:bCs/>
    </w:rPr>
  </w:style>
  <w:style w:type="paragraph" w:customStyle="1" w:styleId="Heading">
    <w:name w:val="Heading"/>
    <w:basedOn w:val="a"/>
    <w:next w:val="TextBody"/>
    <w:rsid w:val="001B34E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B34E0"/>
    <w:pPr>
      <w:spacing w:after="140" w:line="288" w:lineRule="auto"/>
    </w:pPr>
  </w:style>
  <w:style w:type="paragraph" w:styleId="a4">
    <w:name w:val="List"/>
    <w:basedOn w:val="TextBody"/>
    <w:rsid w:val="001B34E0"/>
    <w:rPr>
      <w:rFonts w:cs="FreeSans"/>
    </w:rPr>
  </w:style>
  <w:style w:type="paragraph" w:styleId="a5">
    <w:name w:val="caption"/>
    <w:basedOn w:val="a"/>
    <w:rsid w:val="001B34E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1B34E0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rsid w:val="00E73051"/>
    <w:pPr>
      <w:spacing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3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fficial.contest.yandex.ru/contest/3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1028</Words>
  <Characters>5864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lidia.perovskaya</dc:creator>
  <cp:lastModifiedBy>Vova</cp:lastModifiedBy>
  <cp:revision>3</cp:revision>
  <dcterms:created xsi:type="dcterms:W3CDTF">2018-10-25T19:00:00Z</dcterms:created>
  <dcterms:modified xsi:type="dcterms:W3CDTF">2018-10-25T19:06:00Z</dcterms:modified>
  <dc:language>ru-RU</dc:language>
</cp:coreProperties>
</file>