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615" w:rsidRDefault="005030FF" w:rsidP="005030FF">
      <w:pPr>
        <w:spacing w:after="0" w:line="240" w:lineRule="auto"/>
        <w:jc w:val="center"/>
        <w:rPr>
          <w:rFonts w:ascii="Times New Roman" w:hAnsi="Times New Roman"/>
          <w:sz w:val="28"/>
          <w:szCs w:val="28"/>
        </w:rPr>
      </w:pPr>
      <w:r w:rsidRPr="005030FF">
        <w:rPr>
          <w:rFonts w:ascii="Times New Roman" w:hAnsi="Times New Roman"/>
          <w:noProof/>
          <w:sz w:val="28"/>
          <w:szCs w:val="28"/>
          <w:lang w:eastAsia="ru-RU"/>
        </w:rPr>
        <w:drawing>
          <wp:inline distT="0" distB="0" distL="0" distR="0">
            <wp:extent cx="5940425" cy="8394404"/>
            <wp:effectExtent l="0" t="0" r="3175" b="6985"/>
            <wp:docPr id="1" name="Рисунок 1" descr="C:\Users\User\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5030FF" w:rsidRDefault="005030FF" w:rsidP="005030FF">
      <w:pPr>
        <w:spacing w:after="0" w:line="240" w:lineRule="auto"/>
        <w:jc w:val="center"/>
        <w:rPr>
          <w:rFonts w:ascii="Times New Roman" w:hAnsi="Times New Roman"/>
          <w:sz w:val="28"/>
          <w:szCs w:val="28"/>
        </w:rPr>
      </w:pPr>
    </w:p>
    <w:p w:rsidR="005030FF" w:rsidRDefault="005030FF" w:rsidP="005030FF">
      <w:pPr>
        <w:spacing w:after="0" w:line="240" w:lineRule="auto"/>
        <w:jc w:val="center"/>
        <w:rPr>
          <w:rFonts w:ascii="Times New Roman" w:hAnsi="Times New Roman"/>
          <w:sz w:val="28"/>
          <w:szCs w:val="28"/>
        </w:rPr>
      </w:pPr>
    </w:p>
    <w:p w:rsidR="005030FF" w:rsidRDefault="005030FF" w:rsidP="005030FF">
      <w:pPr>
        <w:spacing w:after="0" w:line="240" w:lineRule="auto"/>
        <w:jc w:val="center"/>
        <w:rPr>
          <w:rFonts w:ascii="Times New Roman" w:hAnsi="Times New Roman" w:cs="Times New Roman"/>
          <w:sz w:val="28"/>
          <w:szCs w:val="28"/>
        </w:rPr>
      </w:pPr>
      <w:bookmarkStart w:id="0" w:name="_GoBack"/>
      <w:bookmarkEnd w:id="0"/>
    </w:p>
    <w:p w:rsidR="00504615" w:rsidRDefault="00504615" w:rsidP="00106B12">
      <w:pPr>
        <w:rPr>
          <w:rFonts w:ascii="Times New Roman" w:hAnsi="Times New Roman" w:cs="Times New Roman"/>
          <w:sz w:val="28"/>
          <w:szCs w:val="28"/>
        </w:rPr>
      </w:pPr>
      <w:r>
        <w:rPr>
          <w:rFonts w:ascii="Times New Roman" w:hAnsi="Times New Roman" w:cs="Times New Roman"/>
          <w:sz w:val="28"/>
          <w:szCs w:val="28"/>
        </w:rPr>
        <w:lastRenderedPageBreak/>
        <w:t>-Положения о документах и документообороте в бухгалтерском учете, утвержденным Минфином СССР от 29.07.1983 № 105</w:t>
      </w:r>
    </w:p>
    <w:p w:rsidR="00504615" w:rsidRDefault="00504615" w:rsidP="00106B12">
      <w:pPr>
        <w:rPr>
          <w:rFonts w:ascii="Times New Roman" w:hAnsi="Times New Roman" w:cs="Times New Roman"/>
          <w:sz w:val="28"/>
          <w:szCs w:val="28"/>
        </w:rPr>
      </w:pPr>
      <w:r>
        <w:rPr>
          <w:rFonts w:ascii="Times New Roman" w:hAnsi="Times New Roman" w:cs="Times New Roman"/>
          <w:sz w:val="28"/>
          <w:szCs w:val="28"/>
        </w:rPr>
        <w:t>-Порядком</w:t>
      </w:r>
      <w:r w:rsidR="00C90461">
        <w:rPr>
          <w:rFonts w:ascii="Times New Roman" w:hAnsi="Times New Roman" w:cs="Times New Roman"/>
          <w:sz w:val="28"/>
          <w:szCs w:val="28"/>
        </w:rPr>
        <w:t xml:space="preserve"> ведения кассовых операций</w:t>
      </w:r>
      <w:r>
        <w:rPr>
          <w:rFonts w:ascii="Times New Roman" w:hAnsi="Times New Roman" w:cs="Times New Roman"/>
          <w:sz w:val="28"/>
          <w:szCs w:val="28"/>
        </w:rPr>
        <w:t xml:space="preserve"> </w:t>
      </w:r>
      <w:r w:rsidR="00C90461">
        <w:rPr>
          <w:rFonts w:ascii="Times New Roman" w:hAnsi="Times New Roman" w:cs="Times New Roman"/>
          <w:sz w:val="28"/>
          <w:szCs w:val="28"/>
        </w:rPr>
        <w:t>в РФ, утвержденными решением Совета директоров ЦБ РФ от 22.09.1993г. №40</w:t>
      </w:r>
    </w:p>
    <w:p w:rsidR="00C90461" w:rsidRDefault="00C90461" w:rsidP="00106B12">
      <w:pPr>
        <w:rPr>
          <w:rFonts w:ascii="Times New Roman" w:hAnsi="Times New Roman" w:cs="Times New Roman"/>
          <w:sz w:val="28"/>
          <w:szCs w:val="28"/>
        </w:rPr>
      </w:pPr>
      <w:r>
        <w:rPr>
          <w:rFonts w:ascii="Times New Roman" w:hAnsi="Times New Roman" w:cs="Times New Roman"/>
          <w:sz w:val="28"/>
          <w:szCs w:val="28"/>
        </w:rPr>
        <w:t>-Методических указаний по проведению инвентаризации, утвержденными приказом Минфина РФ от 13.06.1995г. № 49</w:t>
      </w:r>
    </w:p>
    <w:p w:rsidR="00C90461" w:rsidRDefault="00C90461" w:rsidP="00106B12">
      <w:pPr>
        <w:rPr>
          <w:rFonts w:ascii="Times New Roman" w:hAnsi="Times New Roman" w:cs="Times New Roman"/>
          <w:sz w:val="28"/>
          <w:szCs w:val="28"/>
        </w:rPr>
      </w:pPr>
      <w:r>
        <w:rPr>
          <w:rFonts w:ascii="Times New Roman" w:hAnsi="Times New Roman" w:cs="Times New Roman"/>
          <w:sz w:val="28"/>
          <w:szCs w:val="28"/>
        </w:rPr>
        <w:t>-Общероссийским классификатором основных фондов 013-94</w:t>
      </w:r>
    </w:p>
    <w:p w:rsidR="00C90461" w:rsidRDefault="00C90461" w:rsidP="00106B12">
      <w:pPr>
        <w:rPr>
          <w:rFonts w:ascii="Times New Roman" w:hAnsi="Times New Roman" w:cs="Times New Roman"/>
          <w:sz w:val="28"/>
          <w:szCs w:val="28"/>
        </w:rPr>
      </w:pPr>
      <w:r>
        <w:rPr>
          <w:rFonts w:ascii="Times New Roman" w:hAnsi="Times New Roman" w:cs="Times New Roman"/>
          <w:sz w:val="28"/>
          <w:szCs w:val="28"/>
        </w:rPr>
        <w:t>-Постановлением правительства РФ от 01.01.2002 №1</w:t>
      </w:r>
    </w:p>
    <w:p w:rsidR="00C90461" w:rsidRDefault="00C90461" w:rsidP="00106B12">
      <w:pPr>
        <w:rPr>
          <w:rFonts w:ascii="Times New Roman" w:hAnsi="Times New Roman" w:cs="Times New Roman"/>
          <w:sz w:val="28"/>
          <w:szCs w:val="28"/>
        </w:rPr>
      </w:pPr>
      <w:r>
        <w:rPr>
          <w:rFonts w:ascii="Times New Roman" w:hAnsi="Times New Roman" w:cs="Times New Roman"/>
          <w:sz w:val="28"/>
          <w:szCs w:val="28"/>
        </w:rPr>
        <w:t>-Уставом и внутренними документами учреждения</w:t>
      </w:r>
    </w:p>
    <w:p w:rsidR="00106B12" w:rsidRDefault="00C90461" w:rsidP="00C90461">
      <w:pPr>
        <w:rPr>
          <w:rFonts w:ascii="Times New Roman" w:hAnsi="Times New Roman" w:cs="Times New Roman"/>
          <w:sz w:val="28"/>
          <w:szCs w:val="28"/>
        </w:rPr>
      </w:pPr>
      <w:r>
        <w:rPr>
          <w:rFonts w:ascii="Times New Roman" w:hAnsi="Times New Roman" w:cs="Times New Roman"/>
          <w:sz w:val="28"/>
          <w:szCs w:val="28"/>
        </w:rPr>
        <w:t>-Иными нормативными и правовыми актами РФ</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1.2.</w:t>
      </w:r>
      <w:r w:rsidR="00C90461">
        <w:rPr>
          <w:rFonts w:ascii="Times New Roman" w:hAnsi="Times New Roman" w:cs="Times New Roman"/>
          <w:sz w:val="28"/>
          <w:szCs w:val="28"/>
        </w:rPr>
        <w:t xml:space="preserve"> </w:t>
      </w:r>
      <w:r w:rsidRPr="00106B12">
        <w:rPr>
          <w:rFonts w:ascii="Times New Roman" w:hAnsi="Times New Roman" w:cs="Times New Roman"/>
          <w:sz w:val="28"/>
          <w:szCs w:val="28"/>
        </w:rPr>
        <w:t xml:space="preserve">Положение об учетной политике утверждается приказом и применяется последовательно из года в год.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1.3. Учреждение является бюджетным учреждением, получающим финансирование из бюджета администрации Буденновского муниципального района Ставропольского края.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1.4. В соответствии с Законом № 129-ФЗ ответственными за соблюдение законодательства, касающиеся организации и функционирования деятельности являются:</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 за организацию бюджетного учета и соблюдение законодательства при выполнении хозяйственных операций - руководитель Учреждения;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за формирование учетной политики, ведение бюджетного учета, своевременное предоставление полной и достоверной бюджетной, налоговой и статистической отчетности - бухгалтер ООАБМР.</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1.5. Бюджетный учет исполнения смет расходов должен быть организован в разрезе функциональной и экономической классификации расходов, целевого назначения расходов. Бюджетный учет исполнения смет расходов осуществляется по журналам операций бюджетного учета. Проверенные и принятые к учету документы систематизируются по датам совершения операций (в хронологическом порядке) и оформляются журналами операций - накопительными ведомостями. Правильность отражения хозяйственных операций в регистрах бюджетного учета обеспечивают лица, составившие и подписавшие их.</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При обработке учетной информации на всех участках бюджетного учета применяется компьютерная техника. Базы данных хранятся на жестких дисках, страховые копии формируются еженедельно в последний день недели и хранятся на накопителях.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2. Ведение бюджетного учета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lastRenderedPageBreak/>
        <w:t>2.1.Формы первичной документации, их периодичность и порядок составления определяются Инструкцией по бюджетному учету, утвержденной приказом Минфина РФ от 16.12.2010 № 174н (далее - Инструкция), и приказом Минфина РФ от 15.12.2010 № 173н «Об утверждении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2.</w:t>
      </w:r>
      <w:proofErr w:type="gramStart"/>
      <w:r w:rsidRPr="00106B12">
        <w:rPr>
          <w:rFonts w:ascii="Times New Roman" w:hAnsi="Times New Roman" w:cs="Times New Roman"/>
          <w:sz w:val="28"/>
          <w:szCs w:val="28"/>
        </w:rPr>
        <w:t>2.Все</w:t>
      </w:r>
      <w:proofErr w:type="gramEnd"/>
      <w:r w:rsidRPr="00106B12">
        <w:rPr>
          <w:rFonts w:ascii="Times New Roman" w:hAnsi="Times New Roman" w:cs="Times New Roman"/>
          <w:sz w:val="28"/>
          <w:szCs w:val="28"/>
        </w:rPr>
        <w:t xml:space="preserve"> первичные документы, поступающие в бухгалтерию, должны проверяться на правильность оформления: соответствие формы и полнота содержания, наличие подписей лиц, ответственных за их составление, и их расшифровок. Первичные документы, оформленные ненадлежащим образом, не подлежат приему бухгалтерией к учету и должны быть возвращены в течение трех дней.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2.</w:t>
      </w:r>
      <w:proofErr w:type="gramStart"/>
      <w:r w:rsidRPr="00106B12">
        <w:rPr>
          <w:rFonts w:ascii="Times New Roman" w:hAnsi="Times New Roman" w:cs="Times New Roman"/>
          <w:sz w:val="28"/>
          <w:szCs w:val="28"/>
        </w:rPr>
        <w:t>3.Бюджетный</w:t>
      </w:r>
      <w:proofErr w:type="gramEnd"/>
      <w:r w:rsidRPr="00106B12">
        <w:rPr>
          <w:rFonts w:ascii="Times New Roman" w:hAnsi="Times New Roman" w:cs="Times New Roman"/>
          <w:sz w:val="28"/>
          <w:szCs w:val="28"/>
        </w:rPr>
        <w:t xml:space="preserve"> учет осуществляется согласно плану счетов бюджетного учета в соответствии с Инструкцией и другими нормативными документами с учетом последующих изменений и дополнений.</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2.</w:t>
      </w:r>
      <w:proofErr w:type="gramStart"/>
      <w:r w:rsidRPr="00106B12">
        <w:rPr>
          <w:rFonts w:ascii="Times New Roman" w:hAnsi="Times New Roman" w:cs="Times New Roman"/>
          <w:sz w:val="28"/>
          <w:szCs w:val="28"/>
        </w:rPr>
        <w:t>4.Журналы</w:t>
      </w:r>
      <w:proofErr w:type="gramEnd"/>
      <w:r w:rsidRPr="00106B12">
        <w:rPr>
          <w:rFonts w:ascii="Times New Roman" w:hAnsi="Times New Roman" w:cs="Times New Roman"/>
          <w:sz w:val="28"/>
          <w:szCs w:val="28"/>
        </w:rPr>
        <w:t xml:space="preserve"> операций должны формироваться и переноситься на бумажные носители не позднее 12-го числа месяца, следующего за отчетным. Обороты в главной книге должны формироваться не позднее 15-го числа месяца, следующего за отчетным.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2.5. Учреждение расходует бюджетные средства в соответствии с целевым назначением и в меру выполнения мероприятий, предусмотренных сметой, строго соблюдая финансово-бюджетную дисциплину и максимальную экономию материальных ценностей и денежных средств.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3. Методология учета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3.1. Общие принципы учета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3.1.</w:t>
      </w:r>
      <w:proofErr w:type="gramStart"/>
      <w:r w:rsidRPr="00106B12">
        <w:rPr>
          <w:rFonts w:ascii="Times New Roman" w:hAnsi="Times New Roman" w:cs="Times New Roman"/>
          <w:sz w:val="28"/>
          <w:szCs w:val="28"/>
        </w:rPr>
        <w:t>1.Бухгалтерия</w:t>
      </w:r>
      <w:proofErr w:type="gramEnd"/>
      <w:r w:rsidRPr="00106B12">
        <w:rPr>
          <w:rFonts w:ascii="Times New Roman" w:hAnsi="Times New Roman" w:cs="Times New Roman"/>
          <w:sz w:val="28"/>
          <w:szCs w:val="28"/>
        </w:rPr>
        <w:t xml:space="preserve"> Учреждения ведет учет средств бюджета МДОУ ДС № 202 г. Буденновска 3.1.2.Бухгалтерия Учреждения также учитывает внебюджетные источники финансирования: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-пожертвования от физических и юридических лиц;</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-доходы от предпринимательской и иной приносящей доход деятельности, предусмотренной Уставом учреждения и действующим законодательством;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3.1.3. Учреждение может получать материальные ценности и денежные средства в качестве пожертвования согласно действующему законодательству.</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3.1.</w:t>
      </w:r>
      <w:proofErr w:type="gramStart"/>
      <w:r w:rsidRPr="00106B12">
        <w:rPr>
          <w:rFonts w:ascii="Times New Roman" w:hAnsi="Times New Roman" w:cs="Times New Roman"/>
          <w:sz w:val="28"/>
          <w:szCs w:val="28"/>
        </w:rPr>
        <w:t>4.Бюджетный</w:t>
      </w:r>
      <w:proofErr w:type="gramEnd"/>
      <w:r w:rsidRPr="00106B12">
        <w:rPr>
          <w:rFonts w:ascii="Times New Roman" w:hAnsi="Times New Roman" w:cs="Times New Roman"/>
          <w:sz w:val="28"/>
          <w:szCs w:val="28"/>
        </w:rPr>
        <w:t xml:space="preserve"> учет исполнения смет доходов и расходов осуществляется в бухгалтерии Учреждения в разрезе источников финансирования.</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3.2. Учет нефинансовых активов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3.2.</w:t>
      </w:r>
      <w:proofErr w:type="gramStart"/>
      <w:r w:rsidRPr="00106B12">
        <w:rPr>
          <w:rFonts w:ascii="Times New Roman" w:hAnsi="Times New Roman" w:cs="Times New Roman"/>
          <w:sz w:val="28"/>
          <w:szCs w:val="28"/>
        </w:rPr>
        <w:t>1.Нефинансовые</w:t>
      </w:r>
      <w:proofErr w:type="gramEnd"/>
      <w:r w:rsidRPr="00106B12">
        <w:rPr>
          <w:rFonts w:ascii="Times New Roman" w:hAnsi="Times New Roman" w:cs="Times New Roman"/>
          <w:sz w:val="28"/>
          <w:szCs w:val="28"/>
        </w:rPr>
        <w:t xml:space="preserve"> активы могут быть получены материально - ответственным лицом, имеющим доверенность на получение </w:t>
      </w:r>
      <w:proofErr w:type="spellStart"/>
      <w:r w:rsidRPr="00106B12">
        <w:rPr>
          <w:rFonts w:ascii="Times New Roman" w:hAnsi="Times New Roman" w:cs="Times New Roman"/>
          <w:sz w:val="28"/>
          <w:szCs w:val="28"/>
        </w:rPr>
        <w:t>товарно</w:t>
      </w:r>
      <w:proofErr w:type="spellEnd"/>
      <w:r w:rsidRPr="00106B12">
        <w:rPr>
          <w:rFonts w:ascii="Times New Roman" w:hAnsi="Times New Roman" w:cs="Times New Roman"/>
          <w:sz w:val="28"/>
          <w:szCs w:val="28"/>
        </w:rPr>
        <w:t xml:space="preserve"> - </w:t>
      </w:r>
      <w:r w:rsidRPr="00106B12">
        <w:rPr>
          <w:rFonts w:ascii="Times New Roman" w:hAnsi="Times New Roman" w:cs="Times New Roman"/>
          <w:sz w:val="28"/>
          <w:szCs w:val="28"/>
        </w:rPr>
        <w:lastRenderedPageBreak/>
        <w:t xml:space="preserve">материальных ценностей. Порядок выдачи доверенностей на получение товарно-материальных ценностей и отпуска их по доверенности осуществляется на основании Инструкции Министерства Финансов СССР от 14 января 1967 г. № 17.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Контроль над правильностью ведения книги регистрации доверенностей возложить на главного бухгалтера. Установить срок отчетности по выданным доверенностям на получение </w:t>
      </w:r>
      <w:proofErr w:type="spellStart"/>
      <w:r w:rsidRPr="00106B12">
        <w:rPr>
          <w:rFonts w:ascii="Times New Roman" w:hAnsi="Times New Roman" w:cs="Times New Roman"/>
          <w:sz w:val="28"/>
          <w:szCs w:val="28"/>
        </w:rPr>
        <w:t>товарно</w:t>
      </w:r>
      <w:proofErr w:type="spellEnd"/>
      <w:r w:rsidRPr="00106B12">
        <w:rPr>
          <w:rFonts w:ascii="Times New Roman" w:hAnsi="Times New Roman" w:cs="Times New Roman"/>
          <w:sz w:val="28"/>
          <w:szCs w:val="28"/>
        </w:rPr>
        <w:t xml:space="preserve"> - материальных ценностей в три дня после истечения срока действия доверенности. Срок действия доверенности на получение </w:t>
      </w:r>
      <w:proofErr w:type="spellStart"/>
      <w:r w:rsidRPr="00106B12">
        <w:rPr>
          <w:rFonts w:ascii="Times New Roman" w:hAnsi="Times New Roman" w:cs="Times New Roman"/>
          <w:sz w:val="28"/>
          <w:szCs w:val="28"/>
        </w:rPr>
        <w:t>товарно</w:t>
      </w:r>
      <w:proofErr w:type="spellEnd"/>
      <w:r w:rsidRPr="00106B12">
        <w:rPr>
          <w:rFonts w:ascii="Times New Roman" w:hAnsi="Times New Roman" w:cs="Times New Roman"/>
          <w:sz w:val="28"/>
          <w:szCs w:val="28"/>
        </w:rPr>
        <w:t xml:space="preserve"> - материальных ценностей - 10 дней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3.</w:t>
      </w:r>
      <w:proofErr w:type="gramStart"/>
      <w:r w:rsidRPr="00106B12">
        <w:rPr>
          <w:rFonts w:ascii="Times New Roman" w:hAnsi="Times New Roman" w:cs="Times New Roman"/>
          <w:sz w:val="28"/>
          <w:szCs w:val="28"/>
        </w:rPr>
        <w:t>3.Учет</w:t>
      </w:r>
      <w:proofErr w:type="gramEnd"/>
      <w:r w:rsidRPr="00106B12">
        <w:rPr>
          <w:rFonts w:ascii="Times New Roman" w:hAnsi="Times New Roman" w:cs="Times New Roman"/>
          <w:sz w:val="28"/>
          <w:szCs w:val="28"/>
        </w:rPr>
        <w:t xml:space="preserve"> основных средств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3.3.1. К основным средствам относятся ценности, у которых срок полезного использования не менее 12 месяцев. Основные средства отражаются в бюджетном учете и отчетности по фактическим расходам на их приобретение, сооружение и изготовление, включая налог на добавленную стоимость (кроме их приобретения за счет средств от предпринимательской деятельности, облагаемой НДС), а объекты, которые подвергались переоценке, — по стоимости после переоценки. В случае если фактические затраты связаны с приобретением нескольких видов объектов основных средств, распределение затрат по объектам основных средств производится пропорционально их стоимости. В случае же если информация о совершенных затратах, связанных с приобретением основных средств, появилась после их оприходования и ввода в эксплуатацию, сумма этих затрат учитывается на счетах расходов учреждения. 3.3.</w:t>
      </w:r>
      <w:proofErr w:type="gramStart"/>
      <w:r w:rsidRPr="00106B12">
        <w:rPr>
          <w:rFonts w:ascii="Times New Roman" w:hAnsi="Times New Roman" w:cs="Times New Roman"/>
          <w:sz w:val="28"/>
          <w:szCs w:val="28"/>
        </w:rPr>
        <w:t>2.Принятием</w:t>
      </w:r>
      <w:proofErr w:type="gramEnd"/>
      <w:r w:rsidRPr="00106B12">
        <w:rPr>
          <w:rFonts w:ascii="Times New Roman" w:hAnsi="Times New Roman" w:cs="Times New Roman"/>
          <w:sz w:val="28"/>
          <w:szCs w:val="28"/>
        </w:rPr>
        <w:t xml:space="preserve"> на учет вновь поступивших объектов основных средств и нематериальных активов, полученных учреждением по договору дарения, признаются их текущая рыночная стоимость на дату принятия к бухгалтерскому учету, увеличенная на стоимость услуг, связанных с их доставкой, регистрацией и приведением их в состояние, пригодное для использования. Рыночная стоимость такого имущества определяется комиссией, утвержденной приказом руководителя учреждения. Рыночная стоимость имущества, полученного по договору дарения, при необходимости может определяться с привлечением специализированных организаций, занимающихся оценкой собственности. Факт дарения (пожертвования) оформляется договором дарения (пожертвования) и актом приема-передачи основного средства.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3.3.3. Для организации учета и обеспечения контроля сохранности объектов основных средств каждому объекту основных средств (кроме объектов стоимостью до 3000 рублей включительно за единицу, а также литературы, мягкого инвентаря и посуды независимо от стоимости) присваивается уникальный порядковый инвентарный номер, состоящий из 10 знаков, которые являются: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1 знак - принадлежность к основным средствам;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2-3 знаки - аналитический счет основного средства;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lastRenderedPageBreak/>
        <w:t xml:space="preserve">4-10 знаки - простой порядковый номер. В случае наличия у одного объекта нескольких частей, имеющих разный срок полезного использования, каждая такая часть учитывается как самостоятельный инвентарный объект. Инвентарный номер наносится на объект с помощью краски или маркера, обеспечивающим сохранность маркировки. При невозможности нанесения несмываемой краски или маркера на инвентарный объект, последнему присваивается инвентарный номер без нанесения инвентарного номера на объект. В течение отчетного года амортизация на основные средства и нематериальные активы начисляется ежемесячно в размере 1/12 годовой суммы. Переоценка основных средств производится в сроки и в порядке, установленные Правительством РФ.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3.3.</w:t>
      </w:r>
      <w:proofErr w:type="gramStart"/>
      <w:r w:rsidRPr="00106B12">
        <w:rPr>
          <w:rFonts w:ascii="Times New Roman" w:hAnsi="Times New Roman" w:cs="Times New Roman"/>
          <w:sz w:val="28"/>
          <w:szCs w:val="28"/>
        </w:rPr>
        <w:t>4.Для</w:t>
      </w:r>
      <w:proofErr w:type="gramEnd"/>
      <w:r w:rsidRPr="00106B12">
        <w:rPr>
          <w:rFonts w:ascii="Times New Roman" w:hAnsi="Times New Roman" w:cs="Times New Roman"/>
          <w:sz w:val="28"/>
          <w:szCs w:val="28"/>
        </w:rPr>
        <w:t xml:space="preserve"> определения непригодности основных средств к дальнейшей эксплуатации, невозможности или неэффективности производства их восстановительного ремонта, а также для оформления необходимой документации на списание основных средств с баланса Учреждения создать комиссию, состав которой утверждается отдельным приказом. Определить комиссии по списанию следующий круг обязанностей: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производить непосредственный осмотр объекта, подлежащего списанию и определять его непригодность к восстановлению и дальнейшей эксплуатации;</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 устанавливать причины, обуславливающие необходимость списания основных средств (износ, преждевременное выбытие вследствие нарушения нормальных условий эксплуатации или аварии и др., а в необходимых случаях - виновных в этом лиц);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определить возможность использования отдельных узлов, деталей, материалов списываемого объекта и производить их оценку;</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 определить содержание драгметаллов при разборке основного средства в случае, если в инвентарной карточке учета ОС имеется отметка об их возможном наличии. Списание основных средств производится по актам установленной формы со сдачей утиля при наличии заключения комиссии о полной невозможности их дальнейшего использования. Согласование документов по передаче и выбытию основных средств и нематериальных активов, числящихся на балансе Учреждения и находящихся в оперативном управлении, осуществляется отделом имущественных и земельных отношений администрации Буденновского муниципального района Ставропольского края. Для оформления ввода в эксплуатацию основных средств создать постоянно действующую комиссию отдельным приказом.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3.4. Учет материальных запасов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3.4.1.В составе материальных запасов учитываются:</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 материальные ценности, используемые в качестве материалов и комплектующих изделий для управленческих нужд;</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lastRenderedPageBreak/>
        <w:t xml:space="preserve"> — средства труда (инвентарь и хозяйственные принадлежности), срок полезного использования которых не превышает 12 месяцев независимо от их стоимости.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3.4.</w:t>
      </w:r>
      <w:proofErr w:type="gramStart"/>
      <w:r w:rsidRPr="00106B12">
        <w:rPr>
          <w:rFonts w:ascii="Times New Roman" w:hAnsi="Times New Roman" w:cs="Times New Roman"/>
          <w:sz w:val="28"/>
          <w:szCs w:val="28"/>
        </w:rPr>
        <w:t>2.Аналитический</w:t>
      </w:r>
      <w:proofErr w:type="gramEnd"/>
      <w:r w:rsidRPr="00106B12">
        <w:rPr>
          <w:rFonts w:ascii="Times New Roman" w:hAnsi="Times New Roman" w:cs="Times New Roman"/>
          <w:sz w:val="28"/>
          <w:szCs w:val="28"/>
        </w:rPr>
        <w:t xml:space="preserve"> учет материальных запасов ведется по видам запасов, материально ответственным лицам и подразделениям. Списание материальных запасов производится по средней фактической стоимости. Принять следующий порядок округления цифр при расчетах: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-если третья цифра меньше пяти, то вторая не изменяется; -если третья цифра больше пяти или равна пяти, то вторая увеличивается на единицу. Оценка материальных запасов по средней фактической стоимости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фактической стоимости и количества остатка на начало месяца, и поступивших запасов в течение текущего месяца на дату списания (отпуска).</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3.4.3.Канцелярские принадлежности (бумага, карандаши, ручки, стержни и т.п.), а также медикаменты и готовые лекарства (за исключением спирта, драгоценных металлов, строительных материалов и медикаментов, для которых предусмотрен особый порядок учета), приобретенные и одновременно выданные на текущие нужды по Ведомости выдачи материальных ценностей на нужды учреждения (ф. 0504210), </w:t>
      </w:r>
      <w:r w:rsidRPr="00106B12">
        <w:rPr>
          <w:rFonts w:ascii="Times New Roman" w:hAnsi="Times New Roman" w:cs="Times New Roman"/>
          <w:color w:val="FF0000"/>
          <w:sz w:val="28"/>
          <w:szCs w:val="28"/>
        </w:rPr>
        <w:t xml:space="preserve">списываются на фактические расходы учреждения, счет бюджетного учета 40101272 «Расходование материальных запасов», или на счет 10604340 </w:t>
      </w:r>
      <w:r w:rsidRPr="00106B12">
        <w:rPr>
          <w:rFonts w:ascii="Times New Roman" w:hAnsi="Times New Roman" w:cs="Times New Roman"/>
          <w:sz w:val="28"/>
          <w:szCs w:val="28"/>
        </w:rPr>
        <w:t xml:space="preserve">«Изготовление материальных запасов, готовой продукции (работ, услуг)» с указанием аналитики по виду деятельности, для которого был приобретен данный вид материальных запасов, с учетом кода экономической классификации расходов. В случаях недостачи или кражи, когда о пропаже материальных ценностей было заявлено в полицию, списание производится на основании справки из полиции о закрытии уголовного дела и решении комиссии. В случаях, когда о пропаже материальных ценностей не было заявлено в полицию, вопрос о виновных лицах и возмещении ущерба решает комиссия при предъявлении объяснительной записки материально ответственным лицом.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3 .</w:t>
      </w:r>
      <w:proofErr w:type="gramStart"/>
      <w:r w:rsidRPr="00106B12">
        <w:rPr>
          <w:rFonts w:ascii="Times New Roman" w:hAnsi="Times New Roman" w:cs="Times New Roman"/>
          <w:sz w:val="28"/>
          <w:szCs w:val="28"/>
        </w:rPr>
        <w:t>5.Инвентаризация</w:t>
      </w:r>
      <w:proofErr w:type="gramEnd"/>
      <w:r w:rsidRPr="00106B12">
        <w:rPr>
          <w:rFonts w:ascii="Times New Roman" w:hAnsi="Times New Roman" w:cs="Times New Roman"/>
          <w:sz w:val="28"/>
          <w:szCs w:val="28"/>
        </w:rPr>
        <w:t>.</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3.5.1. Имущество организации, обязательства и хозяйственные операции для отражения в бухгалтерском учете и отчетности оцениваются в денежном выражении путем суммирования фактически произведенных расходов в валюте Российской Федерации в рублях с копейками. 3.5.2.В целях обеспечения достоверности данных бюджетного учета и отчетности проводить инвентаризацию имущества и обязательств, оформляя ее отдельными приказами. В соответствии с Методическими указаниями по проведению инвентаризации, утвержденными приказом Минфина РФ от 13.06.1995г. № 49, в целях обеспечения достоверности данных бюджетного </w:t>
      </w:r>
      <w:r w:rsidRPr="00106B12">
        <w:rPr>
          <w:rFonts w:ascii="Times New Roman" w:hAnsi="Times New Roman" w:cs="Times New Roman"/>
          <w:sz w:val="28"/>
          <w:szCs w:val="28"/>
        </w:rPr>
        <w:lastRenderedPageBreak/>
        <w:t xml:space="preserve">учета и отчетности проводить инвентаризацию имущества в следующие сроки, кроме случаев обязательной инвентаризации: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Основные средства, здания, сооружения, передаточные устройства один раз в год на 1 ноября Материальные запасы - один раз в год на 1 ноября Расчеты с поставщиками и подрядчиками - один раз в год на 1 января Расчеты и обязательства - один раз в год на 1 января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3.5.3.В целях надлежащей организации и проведения инвентаризации ежегодно утверждать персональный состав инвентаризационной комиссии приказом.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3.5.4. Для проведения инвентаризации имущества создать постоянно действующую центральную комиссию, которая утверждается отдельным приказом. Состав комиссии утверждается приказом по Учреждению.</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 4.0рганизация предпринимательской и иной, приносящей доход деятельности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4.</w:t>
      </w:r>
      <w:proofErr w:type="gramStart"/>
      <w:r w:rsidRPr="00106B12">
        <w:rPr>
          <w:rFonts w:ascii="Times New Roman" w:hAnsi="Times New Roman" w:cs="Times New Roman"/>
          <w:sz w:val="28"/>
          <w:szCs w:val="28"/>
        </w:rPr>
        <w:t>1 .Взаимоотношения</w:t>
      </w:r>
      <w:proofErr w:type="gramEnd"/>
      <w:r w:rsidRPr="00106B12">
        <w:rPr>
          <w:rFonts w:ascii="Times New Roman" w:hAnsi="Times New Roman" w:cs="Times New Roman"/>
          <w:sz w:val="28"/>
          <w:szCs w:val="28"/>
        </w:rPr>
        <w:t xml:space="preserve"> учреждений и родителей обучающихся (их законных представителей) в получении дополнительных образовательных услуг регулируются договором, где определен перечень данных услуг, сроки представления, размер платы за обучение и иные условия в соответствии с Законами РФ «Об образовании» и «О защите прав потребителей».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5. Целевые поступления, пожертвования. </w:t>
      </w:r>
    </w:p>
    <w:p w:rsidR="00106B12"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 xml:space="preserve">5.1. Учет доходов и расходов пожертвований организовать в разрезе источников доходов и целевых статей расходов в соответствии со сметами. К целевым поступлениям относятся доходы, не учитываемые в целях налогообложения согласно статье 251 НК РФ. </w:t>
      </w:r>
    </w:p>
    <w:p w:rsidR="00BD05C1" w:rsidRPr="00106B12" w:rsidRDefault="00106B12" w:rsidP="00106B12">
      <w:pPr>
        <w:spacing w:after="0"/>
        <w:rPr>
          <w:rFonts w:ascii="Times New Roman" w:hAnsi="Times New Roman" w:cs="Times New Roman"/>
          <w:sz w:val="28"/>
          <w:szCs w:val="28"/>
        </w:rPr>
      </w:pPr>
      <w:r w:rsidRPr="00106B12">
        <w:rPr>
          <w:rFonts w:ascii="Times New Roman" w:hAnsi="Times New Roman" w:cs="Times New Roman"/>
          <w:sz w:val="28"/>
          <w:szCs w:val="28"/>
        </w:rPr>
        <w:t>5.2. Результат текущей финансовой деятельности определяется в конце года.</w:t>
      </w:r>
    </w:p>
    <w:sectPr w:rsidR="00BD05C1" w:rsidRPr="00106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2F"/>
    <w:rsid w:val="00106B12"/>
    <w:rsid w:val="002C4C06"/>
    <w:rsid w:val="005030FF"/>
    <w:rsid w:val="00504615"/>
    <w:rsid w:val="007F792F"/>
    <w:rsid w:val="00BD05C1"/>
    <w:rsid w:val="00C90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C336"/>
  <w15:chartTrackingRefBased/>
  <w15:docId w15:val="{2891F891-61CA-4716-BD7D-58D5E318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2071</Words>
  <Characters>11808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2021-09-02T20:48:00Z</dcterms:created>
  <dcterms:modified xsi:type="dcterms:W3CDTF">2021-09-05T12:21:00Z</dcterms:modified>
</cp:coreProperties>
</file>