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57A6F">
      <w:r w:rsidRPr="00257A6F">
        <w:t>Приложение № 13«Журнал входного контроля пищевых продуктов, продовольственного сырья»</w:t>
      </w:r>
    </w:p>
    <w:p w:rsidR="00257A6F" w:rsidRDefault="00257A6F"/>
    <w:p w:rsidR="00257A6F" w:rsidRDefault="00257A6F">
      <w:r>
        <w:rPr>
          <w:noProof/>
        </w:rPr>
        <w:drawing>
          <wp:inline distT="0" distB="0" distL="0" distR="0">
            <wp:extent cx="9507726" cy="903514"/>
            <wp:effectExtent l="19050" t="0" r="0" b="0"/>
            <wp:docPr id="1" name="Рисунок 0" descr="Приложение № 13«Журнал входного контроля пищевых продуктов, продовольственного сырья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13«Журнал входного контроля пищевых продуктов, продовольственного сырья»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03371" cy="90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A6F" w:rsidSect="00257A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257A6F"/>
    <w:rsid w:val="0025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2021-08-20T07:08:00Z</dcterms:created>
  <dcterms:modified xsi:type="dcterms:W3CDTF">2021-08-20T07:08:00Z</dcterms:modified>
</cp:coreProperties>
</file>