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BB50FD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и речь. Культура речи как раздел науки о языке. Норма литературного языка.</w:t>
            </w:r>
          </w:p>
        </w:tc>
        <w:tc>
          <w:tcPr>
            <w:tcW w:w="4536" w:type="dxa"/>
          </w:tcPr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1)Параграф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8, 109,110</w:t>
            </w:r>
            <w:r>
              <w:rPr>
                <w:rFonts w:ascii="Times New Roman" w:hAnsi="Times New Roman"/>
                <w:sz w:val="28"/>
                <w:szCs w:val="28"/>
              </w:rPr>
              <w:t>. Изучить теоретический материал на странице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2-3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50FD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)Выполнить вариант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сайте 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 (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с</w:t>
            </w:r>
            <w:r>
              <w:rPr>
                <w:rFonts w:ascii="Times New Roman" w:hAnsi="Times New Roman"/>
                <w:sz w:val="28"/>
                <w:szCs w:val="28"/>
              </w:rPr>
              <w:t>криншот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работы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(только в </w:t>
            </w:r>
            <w:proofErr w:type="spellStart"/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BB50FD" w:rsidRDefault="00BB50FD" w:rsidP="00BB50FD"/>
    <w:p w:rsidR="00852EB6" w:rsidRDefault="00852EB6"/>
    <w:sectPr w:rsidR="00852EB6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2020-04-21T16:55:00Z</dcterms:created>
  <dcterms:modified xsi:type="dcterms:W3CDTF">2020-04-21T17:05:00Z</dcterms:modified>
</cp:coreProperties>
</file>