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DF" w:rsidRPr="00A475F4" w:rsidRDefault="00DB2ADF" w:rsidP="00DB2AD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A47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11</w:t>
      </w:r>
      <w:r w:rsidRPr="00A47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Из списка городов выбираем те, где численность более или около миллиона. В России 16 городов с населением более 1 млн. человек. Это Москва, Санкт-Петербург — города федерального подчинения; в Поволжье — Нижний Новгород, Казань, Самара, Волгоград, на Европейском Юге и Черноземье  — Ростов на Дону, Краснодар и Воронеж, на Урал</w:t>
      </w:r>
      <w:proofErr w:type="gramStart"/>
      <w:r w:rsidRPr="00A47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A47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Пермь, Уфа, Екатеринбург, Челябинск; в Сибири — Омск, Новосибирск, Красноярск.</w:t>
      </w:r>
    </w:p>
    <w:p w:rsidR="00DB2ADF" w:rsidRPr="00A475F4" w:rsidRDefault="00DB2ADF" w:rsidP="00DB2AD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6A03" w:rsidRPr="00A475F4" w:rsidRDefault="00EF6A03" w:rsidP="00DB2AD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7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13. </w:t>
      </w:r>
    </w:p>
    <w:p w:rsidR="0049318A" w:rsidRPr="00A475F4" w:rsidRDefault="0049318A" w:rsidP="00DB2ADF">
      <w:pPr>
        <w:spacing w:after="0" w:line="240" w:lineRule="auto"/>
        <w:ind w:firstLine="375"/>
        <w:jc w:val="both"/>
        <w:rPr>
          <w:rFonts w:ascii="Verdana" w:hAnsi="Verdana"/>
          <w:color w:val="000000"/>
          <w:sz w:val="28"/>
          <w:szCs w:val="28"/>
        </w:rPr>
      </w:pPr>
    </w:p>
    <w:p w:rsidR="00EF6A03" w:rsidRPr="00A475F4" w:rsidRDefault="00EF6A03" w:rsidP="0049318A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5F4">
        <w:rPr>
          <w:rFonts w:ascii="Times New Roman" w:hAnsi="Times New Roman" w:cs="Times New Roman"/>
          <w:color w:val="000000"/>
          <w:sz w:val="28"/>
          <w:szCs w:val="28"/>
        </w:rPr>
        <w:t xml:space="preserve">Крупные лесопромышленные комплексы характерны для </w:t>
      </w:r>
      <w:proofErr w:type="spellStart"/>
      <w:r w:rsidRPr="00A475F4">
        <w:rPr>
          <w:rFonts w:ascii="Times New Roman" w:hAnsi="Times New Roman" w:cs="Times New Roman"/>
          <w:color w:val="000000"/>
          <w:sz w:val="28"/>
          <w:szCs w:val="28"/>
        </w:rPr>
        <w:t>лесоизбыточных</w:t>
      </w:r>
      <w:proofErr w:type="spellEnd"/>
      <w:r w:rsidRPr="00A475F4">
        <w:rPr>
          <w:rFonts w:ascii="Times New Roman" w:hAnsi="Times New Roman" w:cs="Times New Roman"/>
          <w:color w:val="000000"/>
          <w:sz w:val="28"/>
          <w:szCs w:val="28"/>
        </w:rPr>
        <w:t xml:space="preserve"> районов. Это Архангельская область и Красноярский край, Иркутская область.</w:t>
      </w:r>
      <w:r w:rsidRPr="00A475F4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Карелия и Коми.</w:t>
      </w:r>
    </w:p>
    <w:p w:rsidR="00EF6A03" w:rsidRPr="00A475F4" w:rsidRDefault="00EF6A03" w:rsidP="00DB2ADF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6A03" w:rsidRPr="00A475F4" w:rsidRDefault="00EF6A03" w:rsidP="00DB2ADF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5F4">
        <w:rPr>
          <w:rFonts w:ascii="Times New Roman" w:hAnsi="Times New Roman" w:cs="Times New Roman"/>
          <w:color w:val="000000"/>
          <w:sz w:val="28"/>
          <w:szCs w:val="28"/>
        </w:rPr>
        <w:t>Валовый сбор зерна выше всего в черноземной полосе России, степной и лесостепной зонах.</w:t>
      </w:r>
    </w:p>
    <w:p w:rsidR="00EF6A03" w:rsidRPr="00A475F4" w:rsidRDefault="00EF6A03" w:rsidP="00DB2ADF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6A03" w:rsidRPr="00A475F4" w:rsidRDefault="00EF6A03" w:rsidP="00DB2ADF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5F4">
        <w:rPr>
          <w:rFonts w:ascii="Times New Roman" w:hAnsi="Times New Roman" w:cs="Times New Roman"/>
          <w:color w:val="000000"/>
          <w:sz w:val="28"/>
          <w:szCs w:val="28"/>
        </w:rPr>
        <w:t>Наибольшие показатели сбора сахарной свеклы характерны для лесостепной зоны и степной.</w:t>
      </w:r>
    </w:p>
    <w:p w:rsidR="00EF6A03" w:rsidRPr="00A475F4" w:rsidRDefault="00EF6A03" w:rsidP="00DB2ADF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6A03" w:rsidRPr="00A475F4" w:rsidRDefault="00EF6A03" w:rsidP="00DB2ADF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5F4">
        <w:rPr>
          <w:rFonts w:ascii="Times New Roman" w:hAnsi="Times New Roman" w:cs="Times New Roman"/>
          <w:color w:val="000000"/>
          <w:sz w:val="28"/>
          <w:szCs w:val="28"/>
        </w:rPr>
        <w:t>Производство Алюминия тяготеет к местам выработки дешевой электроэнергии на ГЭС.</w:t>
      </w:r>
    </w:p>
    <w:p w:rsidR="00EF6A03" w:rsidRPr="00A475F4" w:rsidRDefault="00EF6A03" w:rsidP="00DB2ADF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6A03" w:rsidRPr="00A475F4" w:rsidRDefault="00714626" w:rsidP="00DB2ADF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5F4">
        <w:rPr>
          <w:rFonts w:ascii="Times New Roman" w:hAnsi="Times New Roman" w:cs="Times New Roman"/>
          <w:color w:val="000000"/>
          <w:sz w:val="28"/>
          <w:szCs w:val="28"/>
        </w:rPr>
        <w:t>Основной район добычи нефти в нашей стране - Западная Сибирь (2/3 добываемой в стране нефти), также нефть добывается в Волго-Уральском районе, на Кавказе и Сахалине, а также на севере европейской части страны. </w:t>
      </w:r>
    </w:p>
    <w:p w:rsidR="00EF6A03" w:rsidRPr="00A475F4" w:rsidRDefault="00EF6A03" w:rsidP="00DB2ADF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6A03" w:rsidRPr="00A475F4" w:rsidRDefault="00EF6A03" w:rsidP="00DB2ADF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5F4">
        <w:rPr>
          <w:rFonts w:ascii="Times New Roman" w:hAnsi="Times New Roman" w:cs="Times New Roman"/>
          <w:color w:val="000000"/>
          <w:sz w:val="28"/>
          <w:szCs w:val="28"/>
        </w:rPr>
        <w:t xml:space="preserve">Крупнейшие бассейны угля в России — Кузбасс, Печорский, Канско-Ачинский бассейн, Иркутский, </w:t>
      </w:r>
      <w:proofErr w:type="spellStart"/>
      <w:r w:rsidRPr="00A475F4">
        <w:rPr>
          <w:rFonts w:ascii="Times New Roman" w:hAnsi="Times New Roman" w:cs="Times New Roman"/>
          <w:color w:val="000000"/>
          <w:sz w:val="28"/>
          <w:szCs w:val="28"/>
        </w:rPr>
        <w:t>Эльгинское</w:t>
      </w:r>
      <w:proofErr w:type="spellEnd"/>
      <w:r w:rsidRPr="00A475F4">
        <w:rPr>
          <w:rFonts w:ascii="Times New Roman" w:hAnsi="Times New Roman" w:cs="Times New Roman"/>
          <w:color w:val="000000"/>
          <w:sz w:val="28"/>
          <w:szCs w:val="28"/>
        </w:rPr>
        <w:t xml:space="preserve"> угольное месторождение.</w:t>
      </w:r>
    </w:p>
    <w:p w:rsidR="00EF6A03" w:rsidRPr="00A475F4" w:rsidRDefault="00EF6A03" w:rsidP="00DB2ADF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6A03" w:rsidRPr="00A475F4" w:rsidRDefault="00EF6A03" w:rsidP="00EF6A03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A475F4">
        <w:rPr>
          <w:color w:val="000000"/>
          <w:sz w:val="28"/>
          <w:szCs w:val="28"/>
        </w:rPr>
        <w:t>Центрами автомобилестроения являются:</w:t>
      </w:r>
    </w:p>
    <w:p w:rsidR="00EF6A03" w:rsidRPr="00A475F4" w:rsidRDefault="00EF6A03" w:rsidP="00EF6A03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A475F4">
        <w:rPr>
          <w:color w:val="000000"/>
          <w:sz w:val="28"/>
          <w:szCs w:val="28"/>
        </w:rPr>
        <w:t>1) Нижний Новгород — автомобиль ГАЗ</w:t>
      </w:r>
    </w:p>
    <w:p w:rsidR="00EF6A03" w:rsidRPr="00A475F4" w:rsidRDefault="00EF6A03" w:rsidP="00EF6A03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A475F4">
        <w:rPr>
          <w:color w:val="000000"/>
          <w:sz w:val="28"/>
          <w:szCs w:val="28"/>
        </w:rPr>
        <w:t>3) Набережные Челны — КАМАЗ</w:t>
      </w:r>
    </w:p>
    <w:p w:rsidR="00EF6A03" w:rsidRPr="00A475F4" w:rsidRDefault="00EF6A03" w:rsidP="00EF6A03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A475F4">
        <w:rPr>
          <w:color w:val="000000"/>
          <w:sz w:val="28"/>
          <w:szCs w:val="28"/>
        </w:rPr>
        <w:t>5) Тольятти — Жигули</w:t>
      </w:r>
    </w:p>
    <w:p w:rsidR="00EF6A03" w:rsidRPr="00A475F4" w:rsidRDefault="00EF6A03" w:rsidP="00DB2AD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6A03" w:rsidRPr="00A475F4" w:rsidRDefault="00EF6A03" w:rsidP="00EF6A03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A475F4">
        <w:rPr>
          <w:color w:val="000000"/>
          <w:sz w:val="28"/>
          <w:szCs w:val="28"/>
        </w:rPr>
        <w:t>Центры цветной металлургии в России:</w:t>
      </w:r>
    </w:p>
    <w:p w:rsidR="00EF6A03" w:rsidRPr="00A475F4" w:rsidRDefault="00EF6A03" w:rsidP="00EF6A03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A475F4">
        <w:rPr>
          <w:color w:val="000000"/>
          <w:sz w:val="28"/>
          <w:szCs w:val="28"/>
        </w:rPr>
        <w:t>2) Норильск — комбинат Норильский никель</w:t>
      </w:r>
    </w:p>
    <w:p w:rsidR="00EF6A03" w:rsidRPr="00A475F4" w:rsidRDefault="00EF6A03" w:rsidP="00EF6A03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A475F4">
        <w:rPr>
          <w:color w:val="000000"/>
          <w:sz w:val="28"/>
          <w:szCs w:val="28"/>
        </w:rPr>
        <w:t>4) Братск — Братский алюминиевый завод</w:t>
      </w:r>
    </w:p>
    <w:p w:rsidR="00EF6A03" w:rsidRPr="00A475F4" w:rsidRDefault="00EF6A03" w:rsidP="00EF6A03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A475F4">
        <w:rPr>
          <w:color w:val="000000"/>
          <w:sz w:val="28"/>
          <w:szCs w:val="28"/>
        </w:rPr>
        <w:t>5) Красноярск — Красноярский алюминиевый завод</w:t>
      </w:r>
    </w:p>
    <w:p w:rsidR="00EF6A03" w:rsidRPr="00A475F4" w:rsidRDefault="00EF6A03" w:rsidP="00EF6A03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A475F4">
        <w:rPr>
          <w:color w:val="000000"/>
          <w:sz w:val="28"/>
          <w:szCs w:val="28"/>
        </w:rPr>
        <w:t>3) Красноуральск — Медеплавильный комбинат ОАО «Святогор»</w:t>
      </w:r>
    </w:p>
    <w:p w:rsidR="00EF6A03" w:rsidRPr="00A475F4" w:rsidRDefault="00EF6A03" w:rsidP="00EF6A03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A475F4">
        <w:rPr>
          <w:color w:val="000000"/>
          <w:sz w:val="28"/>
          <w:szCs w:val="28"/>
        </w:rPr>
        <w:t>4) Саяногорск — Саянский и Хакасский алюминиевые заводы</w:t>
      </w:r>
    </w:p>
    <w:p w:rsidR="00EF6A03" w:rsidRPr="00A475F4" w:rsidRDefault="00EF6A03" w:rsidP="00DB2AD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6A03" w:rsidRPr="00A475F4" w:rsidRDefault="00EF6A03" w:rsidP="00DB2AD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2ADF" w:rsidRPr="00A475F4" w:rsidRDefault="00DB2ADF" w:rsidP="00DB2AD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2A7B" w:rsidRPr="00A475F4" w:rsidRDefault="0049318A">
      <w:pPr>
        <w:rPr>
          <w:rFonts w:ascii="Times New Roman" w:hAnsi="Times New Roman" w:cs="Times New Roman"/>
          <w:b/>
          <w:sz w:val="28"/>
          <w:szCs w:val="28"/>
        </w:rPr>
      </w:pPr>
      <w:r w:rsidRPr="00A475F4">
        <w:rPr>
          <w:rFonts w:ascii="Times New Roman" w:hAnsi="Times New Roman" w:cs="Times New Roman"/>
          <w:b/>
          <w:sz w:val="28"/>
          <w:szCs w:val="28"/>
        </w:rPr>
        <w:t xml:space="preserve">ЗАДАНИЕ 15. </w:t>
      </w:r>
    </w:p>
    <w:p w:rsidR="0049318A" w:rsidRPr="00A475F4" w:rsidRDefault="0049318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75F4">
        <w:rPr>
          <w:rFonts w:ascii="Times New Roman" w:hAnsi="Times New Roman" w:cs="Times New Roman"/>
          <w:color w:val="000000"/>
          <w:sz w:val="28"/>
          <w:szCs w:val="28"/>
        </w:rPr>
        <w:t>Миграция — перемещение населения.</w:t>
      </w:r>
    </w:p>
    <w:p w:rsidR="0049318A" w:rsidRPr="00A475F4" w:rsidRDefault="0049318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75F4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Урбанизация — рост городов, увеличение количества городских жителей. Стадии урбанизации: рост города, образование агломерации, образование мегалополисов.</w:t>
      </w:r>
    </w:p>
    <w:p w:rsidR="0049318A" w:rsidRPr="00A475F4" w:rsidRDefault="0049318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75F4">
        <w:rPr>
          <w:rFonts w:ascii="Times New Roman" w:hAnsi="Times New Roman" w:cs="Times New Roman"/>
          <w:color w:val="000000"/>
          <w:sz w:val="28"/>
          <w:szCs w:val="28"/>
        </w:rPr>
        <w:t>Отрасль международной специализации — это специализация страны на производстве какого-либо товара или услуги для экспорта.</w:t>
      </w:r>
    </w:p>
    <w:p w:rsidR="0049318A" w:rsidRPr="00A475F4" w:rsidRDefault="0049318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75F4">
        <w:rPr>
          <w:rFonts w:ascii="Times New Roman" w:hAnsi="Times New Roman" w:cs="Times New Roman"/>
          <w:color w:val="000000"/>
          <w:sz w:val="28"/>
          <w:szCs w:val="28"/>
        </w:rPr>
        <w:t>Воспроизводство население — это смена поколений, которую определяют через показатели рождаемости, смертности и естественного прироста.</w:t>
      </w:r>
    </w:p>
    <w:p w:rsidR="0049318A" w:rsidRPr="00A475F4" w:rsidRDefault="0049318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75F4">
        <w:rPr>
          <w:rFonts w:ascii="Times New Roman" w:hAnsi="Times New Roman" w:cs="Times New Roman"/>
          <w:color w:val="000000"/>
          <w:sz w:val="28"/>
          <w:szCs w:val="28"/>
        </w:rPr>
        <w:t>Естественное движение населения — это совокупность процессов рождаемости, смертности и естественного прироста, обеспечивающая смену людских поколений. </w:t>
      </w:r>
    </w:p>
    <w:p w:rsidR="0049318A" w:rsidRPr="00A475F4" w:rsidRDefault="0049318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75F4">
        <w:rPr>
          <w:rFonts w:ascii="Times New Roman" w:hAnsi="Times New Roman" w:cs="Times New Roman"/>
          <w:color w:val="000000"/>
          <w:sz w:val="28"/>
          <w:szCs w:val="28"/>
        </w:rPr>
        <w:t>Демографическая политика — это целенаправленная деятельность государственных органов и иных социальных институтов в сфере регулирования процессов воспроизводства населения. В широком смысле демографическая политика — это политика в области народонаселения.</w:t>
      </w:r>
    </w:p>
    <w:p w:rsidR="0049318A" w:rsidRPr="00A475F4" w:rsidRDefault="0049318A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475F4">
        <w:rPr>
          <w:rFonts w:ascii="Times New Roman" w:hAnsi="Times New Roman" w:cs="Times New Roman"/>
          <w:color w:val="000000"/>
          <w:sz w:val="28"/>
          <w:szCs w:val="28"/>
        </w:rPr>
        <w:t>Международная</w:t>
      </w:r>
      <w:proofErr w:type="gramEnd"/>
      <w:r w:rsidRPr="00A475F4">
        <w:rPr>
          <w:rFonts w:ascii="Times New Roman" w:hAnsi="Times New Roman" w:cs="Times New Roman"/>
          <w:color w:val="000000"/>
          <w:sz w:val="28"/>
          <w:szCs w:val="28"/>
        </w:rPr>
        <w:t xml:space="preserve"> экономическая </w:t>
      </w:r>
      <w:proofErr w:type="spellStart"/>
      <w:r w:rsidRPr="00A475F4">
        <w:rPr>
          <w:rFonts w:ascii="Times New Roman" w:hAnsi="Times New Roman" w:cs="Times New Roman"/>
          <w:color w:val="000000"/>
          <w:sz w:val="28"/>
          <w:szCs w:val="28"/>
        </w:rPr>
        <w:t>интергация</w:t>
      </w:r>
      <w:proofErr w:type="spellEnd"/>
      <w:r w:rsidRPr="00A475F4">
        <w:rPr>
          <w:rFonts w:ascii="Times New Roman" w:hAnsi="Times New Roman" w:cs="Times New Roman"/>
          <w:color w:val="000000"/>
          <w:sz w:val="28"/>
          <w:szCs w:val="28"/>
        </w:rPr>
        <w:t> — это процесс хозяйственного и политического объединения стран на основе развития глубоких устойчивых взаимосвязей и разделения труда между национальными хозяйствами, взаимодействия их экономик на различных уровнях и в различных формах.</w:t>
      </w:r>
    </w:p>
    <w:bookmarkEnd w:id="0"/>
    <w:p w:rsidR="0049318A" w:rsidRPr="0049318A" w:rsidRDefault="0049318A">
      <w:pPr>
        <w:rPr>
          <w:rFonts w:ascii="Times New Roman" w:hAnsi="Times New Roman" w:cs="Times New Roman"/>
          <w:b/>
          <w:sz w:val="28"/>
          <w:szCs w:val="28"/>
        </w:rPr>
      </w:pPr>
    </w:p>
    <w:sectPr w:rsidR="0049318A" w:rsidRPr="0049318A" w:rsidSect="00A475F4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B82"/>
    <w:rsid w:val="001C0B82"/>
    <w:rsid w:val="0049318A"/>
    <w:rsid w:val="00714626"/>
    <w:rsid w:val="00A42A7B"/>
    <w:rsid w:val="00A475F4"/>
    <w:rsid w:val="00DB2ADF"/>
    <w:rsid w:val="00E7602A"/>
    <w:rsid w:val="00E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E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E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2020-06-21T18:50:00Z</dcterms:created>
  <dcterms:modified xsi:type="dcterms:W3CDTF">2020-06-21T19:23:00Z</dcterms:modified>
</cp:coreProperties>
</file>