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211"/>
        <w:gridCol w:w="4678"/>
      </w:tblGrid>
      <w:tr w:rsidR="00086FF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86FF4" w:rsidRDefault="00086FF4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86FF4" w:rsidRDefault="00F77BBE">
            <w:pPr>
              <w:pStyle w:val="a5"/>
              <w:ind w:left="8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Приложение1</w:t>
            </w:r>
          </w:p>
          <w:p w:rsidR="00086FF4" w:rsidRDefault="00F77BBE">
            <w:pPr>
              <w:pStyle w:val="a5"/>
              <w:ind w:left="8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приказу министерства</w:t>
            </w:r>
          </w:p>
          <w:p w:rsidR="00086FF4" w:rsidRDefault="00F77BBE">
            <w:pPr>
              <w:pStyle w:val="a5"/>
              <w:ind w:left="8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образования,науки</w:t>
            </w:r>
          </w:p>
          <w:p w:rsidR="00086FF4" w:rsidRDefault="00F77BBE">
            <w:pPr>
              <w:pStyle w:val="a5"/>
              <w:ind w:left="8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молодежной политики</w:t>
            </w:r>
          </w:p>
          <w:p w:rsidR="00086FF4" w:rsidRDefault="00F77BBE">
            <w:pPr>
              <w:pStyle w:val="a5"/>
              <w:ind w:left="8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  <w:p w:rsidR="00086FF4" w:rsidRDefault="00F77BBE">
            <w:pPr>
              <w:pStyle w:val="a5"/>
              <w:ind w:left="88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 №_______</w:t>
            </w:r>
          </w:p>
        </w:tc>
      </w:tr>
    </w:tbl>
    <w:p w:rsidR="00086FF4" w:rsidRDefault="00086FF4">
      <w:pPr>
        <w:pStyle w:val="a5"/>
        <w:jc w:val="center"/>
        <w:rPr>
          <w:rFonts w:ascii="Times New Roman" w:hAnsi="Times New Roman"/>
          <w:b/>
          <w:sz w:val="28"/>
        </w:rPr>
      </w:pPr>
    </w:p>
    <w:p w:rsidR="00086FF4" w:rsidRDefault="00086FF4">
      <w:pPr>
        <w:pStyle w:val="a5"/>
        <w:jc w:val="center"/>
        <w:rPr>
          <w:rFonts w:ascii="Times New Roman" w:hAnsi="Times New Roman"/>
          <w:b/>
          <w:sz w:val="28"/>
        </w:rPr>
      </w:pPr>
    </w:p>
    <w:p w:rsidR="00086FF4" w:rsidRDefault="00F77BBE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ПРОЦЕДУРА</w:t>
      </w:r>
    </w:p>
    <w:p w:rsidR="00086FF4" w:rsidRDefault="00F77BBE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проведения социально-психологического тестирования </w:t>
      </w:r>
    </w:p>
    <w:p w:rsidR="00086FF4" w:rsidRDefault="00F77BBE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обучающихся общеобразовательных организаций, </w:t>
      </w:r>
    </w:p>
    <w:p w:rsidR="00086FF4" w:rsidRDefault="00F77BBE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профессиональных образовательных организаций, </w:t>
      </w:r>
    </w:p>
    <w:p w:rsidR="00086FF4" w:rsidRDefault="00F77BBE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государственных общеобразовательных организаций </w:t>
      </w:r>
    </w:p>
    <w:p w:rsidR="00086FF4" w:rsidRDefault="00F77BBE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кадетских школах-интернатах, высших учебных заведений, расположенных на территории Краснодарского края, </w:t>
      </w:r>
    </w:p>
    <w:p w:rsidR="00086FF4" w:rsidRDefault="00F77BBE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2022 – 2023 учебном году</w:t>
      </w:r>
    </w:p>
    <w:p w:rsidR="00086FF4" w:rsidRDefault="00086FF4">
      <w:pPr>
        <w:pStyle w:val="a5"/>
        <w:jc w:val="center"/>
        <w:rPr>
          <w:rFonts w:ascii="Times New Roman" w:hAnsi="Times New Roman"/>
          <w:sz w:val="28"/>
        </w:rPr>
      </w:pP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Настоящая Процедура</w:t>
      </w:r>
      <w:r>
        <w:rPr>
          <w:rFonts w:ascii="Times New Roman" w:hAnsi="Times New Roman"/>
          <w:sz w:val="28"/>
        </w:rPr>
        <w:t xml:space="preserve"> проведения социально-психологического тестирования обучающихся общеобразовательных организаций, профессиональных образовательных организаций, государственных общеобразовательных организаций кадетских школах-интернатах, высших учебных заведений, расположен</w:t>
      </w:r>
      <w:r>
        <w:rPr>
          <w:rFonts w:ascii="Times New Roman" w:hAnsi="Times New Roman"/>
          <w:sz w:val="28"/>
        </w:rPr>
        <w:t>ных на территории Краснодарского края, в 2022 – 2023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учебном году (далее – Процедура), определяет порядок проведения социально-психологического тестирования (далее – тестирование) обучающихся общеобразовательных организаций, профессиональных образовательны</w:t>
      </w:r>
      <w:r>
        <w:rPr>
          <w:rFonts w:ascii="Times New Roman" w:hAnsi="Times New Roman"/>
          <w:sz w:val="28"/>
        </w:rPr>
        <w:t xml:space="preserve">х организаций, государственных общеобразовательных организаций кадетских школах-интернатах, высших учебных заведений, расположенных на территории Краснодарского края(далее – соответственно обучающиесяи образовательная организация), направленного на раннее </w:t>
      </w:r>
      <w:r>
        <w:rPr>
          <w:rFonts w:ascii="Times New Roman" w:hAnsi="Times New Roman"/>
          <w:sz w:val="28"/>
        </w:rPr>
        <w:t>выявление незаконного потребления наркотических средств и психотропных веществ.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Тестирование обучающихс</w:t>
      </w:r>
      <w:r>
        <w:rPr>
          <w:rFonts w:ascii="Times New Roman" w:hAnsi="Times New Roman"/>
          <w:sz w:val="28"/>
        </w:rPr>
        <w:t>я, достигших возраста пятнадцати лет, проводится при наличии их информированных согласийв письменной форме об участии в тестировании (далее – информированное согласие). Тестирование обучающихся, не достигших возраста пятнадцати лет, проводитсяпри наличии и</w:t>
      </w:r>
      <w:r>
        <w:rPr>
          <w:rFonts w:ascii="Times New Roman" w:hAnsi="Times New Roman"/>
          <w:sz w:val="28"/>
        </w:rPr>
        <w:t>нформированного согласияодного из их родителей или иных законных представителей.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Тестирование осуществляется в соответствии с приказом руководителя образовательной организации, проводящей тестирование.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Для проведения тестирования руководитель образов</w:t>
      </w:r>
      <w:r>
        <w:rPr>
          <w:rFonts w:ascii="Times New Roman" w:hAnsi="Times New Roman"/>
          <w:sz w:val="28"/>
        </w:rPr>
        <w:t>ательной организации, проводящей тестирование: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утверждает поименные списки обучающихся, составленные по итогам получения от обучающихся либо</w:t>
      </w:r>
      <w:r>
        <w:rPr>
          <w:rFonts w:ascii="Times New Roman" w:hAnsi="Times New Roman"/>
          <w:sz w:val="28"/>
        </w:rPr>
        <w:t xml:space="preserve"> от их родителей или иных законных представителей информированных согласий;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утверждает расписание тестирования по классам (группам)и кабинетам (аудиториям);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создает комиссию, обеспечивающуюорганизационно-техническое сопровождение тестирования (далее – Коми</w:t>
      </w:r>
      <w:r>
        <w:rPr>
          <w:rFonts w:ascii="Times New Roman" w:hAnsi="Times New Roman"/>
          <w:sz w:val="28"/>
        </w:rPr>
        <w:t>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обучающимся. В состав Комиссии общеобра</w:t>
      </w:r>
      <w:r>
        <w:rPr>
          <w:rFonts w:ascii="Times New Roman" w:hAnsi="Times New Roman"/>
          <w:sz w:val="28"/>
        </w:rPr>
        <w:t xml:space="preserve">зовательной организации должны быть включены: заместитель директора по воспитательной работе, педагог-психолог, социальный педагог.В состав Комиссии профессиональной образовательной организации должны быть включены: заместитель директора по воспитательной </w:t>
      </w:r>
      <w:r>
        <w:rPr>
          <w:rFonts w:ascii="Times New Roman" w:hAnsi="Times New Roman"/>
          <w:sz w:val="28"/>
        </w:rPr>
        <w:t>работе, педагог-психолог, социальный педагог;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целях получения информированного согласия в письменной форме от одного из родителей (законных пре</w:t>
      </w:r>
      <w:r>
        <w:rPr>
          <w:rFonts w:ascii="Times New Roman" w:hAnsi="Times New Roman"/>
          <w:sz w:val="28"/>
        </w:rPr>
        <w:t>дставителей) обучающихся, не достигших возраста пятнадцати лет, в образовательной организации проводится родительское собрание, на котором уполномоченный представитель образовательной организации доводит до их сведения цельи задачи проводимого тестирования</w:t>
      </w:r>
      <w:r>
        <w:rPr>
          <w:rFonts w:ascii="Times New Roman" w:hAnsi="Times New Roman"/>
          <w:sz w:val="28"/>
        </w:rPr>
        <w:t>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целях получения информированного согласия в письменной форме от обучающихся, достигших возраста пятнадцати лет, в образовательной организации проводится собрание обучающихся, на котором уполномоченный представитель образовательной организации доводи</w:t>
      </w:r>
      <w:r>
        <w:rPr>
          <w:rFonts w:ascii="Times New Roman" w:hAnsi="Times New Roman"/>
          <w:sz w:val="28"/>
        </w:rPr>
        <w:t>т до их сведения цель и задачи проводимого тестирования.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</w:t>
      </w:r>
      <w:r>
        <w:rPr>
          <w:rFonts w:ascii="Times New Roman" w:hAnsi="Times New Roman"/>
          <w:sz w:val="28"/>
        </w:rPr>
        <w:t>ционированного доступа к ним.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Количество, общая площадь и состояние помещений, предоставляемых для проведения тестирования обучающихся (далее – аудитории), должны обеспечивать его проведение в условиях, соответствующих требованиям санитарно-эпидемиологи</w:t>
      </w:r>
      <w:r>
        <w:rPr>
          <w:rFonts w:ascii="Times New Roman" w:hAnsi="Times New Roman"/>
          <w:sz w:val="28"/>
        </w:rPr>
        <w:t>ческих правил и нормативов.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Количество аудиторий определяется из расчета на каждую аудиторию не более пятнадцати участников тестирования. Каждому участнику тестирования предоставляется рабочее местос учетом его индивидуальных особенностей.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На каждом</w:t>
      </w:r>
      <w:r>
        <w:rPr>
          <w:rFonts w:ascii="Times New Roman" w:hAnsi="Times New Roman"/>
          <w:sz w:val="28"/>
        </w:rPr>
        <w:t xml:space="preserve"> рабочем месте должен быть компьютер с возможностью выхода в Интернет.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11. При проведении тестирования в каждой аудитории присутствует член Комиссии.При проведении тестирования допускается присутствиев аудитории в качестве наблюдателей родителей (законных </w:t>
      </w:r>
      <w:r>
        <w:rPr>
          <w:rFonts w:ascii="Times New Roman" w:hAnsi="Times New Roman"/>
          <w:sz w:val="28"/>
        </w:rPr>
        <w:t>представителей) обучающихся, участвующих в тестировании.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С ц</w:t>
      </w:r>
      <w:r>
        <w:rPr>
          <w:rFonts w:ascii="Times New Roman" w:hAnsi="Times New Roman"/>
          <w:sz w:val="28"/>
        </w:rPr>
        <w:t>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</w:t>
      </w:r>
      <w:r>
        <w:rPr>
          <w:rFonts w:ascii="Times New Roman" w:hAnsi="Times New Roman"/>
          <w:sz w:val="28"/>
        </w:rPr>
        <w:t>юбое время отказаться от тестирования, поставив об этом в известность члена Комиссии.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Тестирование проводится методом получения информации на основании ответов на вопросы.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Форма тестирования определяется образовательной организацией, проводящей тес</w:t>
      </w:r>
      <w:r>
        <w:rPr>
          <w:rFonts w:ascii="Times New Roman" w:hAnsi="Times New Roman"/>
          <w:sz w:val="28"/>
        </w:rPr>
        <w:t>тирование. Форма может быть бланковой (на бумажном носителе), а также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</w:t>
      </w:r>
      <w:r>
        <w:rPr>
          <w:rFonts w:ascii="Times New Roman" w:hAnsi="Times New Roman"/>
          <w:sz w:val="28"/>
        </w:rPr>
        <w:t>ое потребление наркотических средств и психотропных веществ.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 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 С целью обеспечения конфиденциальности результатов тестирования во время его проведения не допускается общение между обучающимися, участвующими в тестировании, а также перемещение по кабинету (аудитории). Каждый обучающийся, участвующий в тестировании, и</w:t>
      </w:r>
      <w:r>
        <w:rPr>
          <w:rFonts w:ascii="Times New Roman" w:hAnsi="Times New Roman"/>
          <w:sz w:val="28"/>
        </w:rPr>
        <w:t>меет право в любое время отказаться от тестирования, поставив об этом в известность члена Комиссии.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По завершении тестирования члены Комиссии комплектуют обезличенныезаполненные анкеты (опросные листы) на бумажном носителе, а в случае заполнения анкет </w:t>
      </w:r>
      <w:r>
        <w:rPr>
          <w:rFonts w:ascii="Times New Roman" w:hAnsi="Times New Roman"/>
          <w:sz w:val="28"/>
        </w:rPr>
        <w:t>(опросных листов) в электронной форме допускается их размещение на внешних носителях информации.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лицевой стороне пакет</w:t>
      </w:r>
      <w:r>
        <w:rPr>
          <w:rFonts w:ascii="Times New Roman" w:hAnsi="Times New Roman"/>
          <w:sz w:val="28"/>
        </w:rPr>
        <w:t>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</w:t>
      </w:r>
      <w:r>
        <w:rPr>
          <w:rFonts w:ascii="Times New Roman" w:hAnsi="Times New Roman"/>
          <w:sz w:val="28"/>
        </w:rPr>
        <w:t>дения тестирования. Также, ставятся подпись всех членов Комиссии с расшифровкой фамилии, имени и отчества (при наличии).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20. Руководитель образовательной организации, проводящей тестирование в течение трех рабочих дней со дня проведения тестирования обеспе</w:t>
      </w:r>
      <w:r>
        <w:rPr>
          <w:rFonts w:ascii="Times New Roman" w:hAnsi="Times New Roman"/>
          <w:sz w:val="28"/>
        </w:rPr>
        <w:t>чивает направление акта передачи результатов тестирования в ИРО КК.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обра</w:t>
      </w:r>
      <w:r>
        <w:rPr>
          <w:rFonts w:ascii="Times New Roman" w:hAnsi="Times New Roman"/>
          <w:sz w:val="28"/>
        </w:rPr>
        <w:t>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</w:t>
      </w:r>
      <w:r>
        <w:rPr>
          <w:rFonts w:ascii="Times New Roman" w:hAnsi="Times New Roman"/>
          <w:sz w:val="28"/>
        </w:rPr>
        <w:t>ционированного доступа к ним.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По завершении тестирования данные отправляются насервер, расположенный в ИРО КК.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По результатам обработки и анализа информации, полученной в результате тестирования, ИРО ККпредоставляетв отдел воспитания и </w:t>
      </w:r>
      <w:r>
        <w:rPr>
          <w:rFonts w:ascii="Times New Roman" w:hAnsi="Times New Roman"/>
          <w:sz w:val="28"/>
        </w:rPr>
        <w:t>дополнительного образования управления общего образования информационно-аналитическую справку о результатах тестирования в разрезе муниципальных образований и образовательных организаций (с информацией о численности участников тестирования, их возрасте).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3. ИРО КК обеспечивает: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хранение полученных результатов тестирования в течение одного года;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соблюдение конфиденциальности при их хранении и использовании.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Министерство</w:t>
      </w:r>
      <w:r w:rsidR="007160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 получения информационно-аналитической справки о результатах тестирования </w:t>
      </w:r>
      <w:r>
        <w:rPr>
          <w:rFonts w:ascii="Times New Roman" w:hAnsi="Times New Roman"/>
          <w:sz w:val="28"/>
        </w:rPr>
        <w:t>составляет акт результатов тестированияс указанием образовательных организаций, принявших участиев нем и передает его в министерство здравоохранения Краснодарского края.</w:t>
      </w:r>
    </w:p>
    <w:p w:rsidR="00086FF4" w:rsidRDefault="00F77BBE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На основе информационно-аналитической справки о результатах тестирования министерс</w:t>
      </w:r>
      <w:r>
        <w:rPr>
          <w:rFonts w:ascii="Times New Roman" w:hAnsi="Times New Roman"/>
          <w:sz w:val="28"/>
        </w:rPr>
        <w:t xml:space="preserve">твом здравоохранения Краснодарского края принимаются дополнительные меры по повышению эффективности проведения профилактической работыв муниципальных образованиях, где по результатам тестирования выявлен показатель подверженности обучающихсяк употреблению </w:t>
      </w:r>
      <w:r>
        <w:rPr>
          <w:rFonts w:ascii="Times New Roman" w:hAnsi="Times New Roman"/>
          <w:sz w:val="28"/>
        </w:rPr>
        <w:t>табачных изделий, наркотических или психотропных веществ выше среднекраевого уровня.</w:t>
      </w:r>
    </w:p>
    <w:p w:rsidR="00086FF4" w:rsidRDefault="00086FF4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:rsidR="00086FF4" w:rsidRDefault="00086FF4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:rsidR="00086FF4" w:rsidRDefault="00F77BBE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воспитания</w:t>
      </w:r>
    </w:p>
    <w:p w:rsidR="00086FF4" w:rsidRDefault="00F77BBE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дополнительного образования</w:t>
      </w:r>
    </w:p>
    <w:p w:rsidR="00086FF4" w:rsidRDefault="00F77BBE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управлении общего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Е.И. Аршинник</w:t>
      </w:r>
    </w:p>
    <w:sectPr w:rsidR="00086FF4" w:rsidSect="00086FF4">
      <w:headerReference w:type="default" r:id="rId6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BBE" w:rsidRDefault="00F77BBE" w:rsidP="00086FF4">
      <w:pPr>
        <w:spacing w:after="0" w:line="240" w:lineRule="auto"/>
      </w:pPr>
      <w:r>
        <w:separator/>
      </w:r>
    </w:p>
  </w:endnote>
  <w:endnote w:type="continuationSeparator" w:id="1">
    <w:p w:rsidR="00F77BBE" w:rsidRDefault="00F77BBE" w:rsidP="000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BBE" w:rsidRDefault="00F77BBE" w:rsidP="00086FF4">
      <w:pPr>
        <w:spacing w:after="0" w:line="240" w:lineRule="auto"/>
      </w:pPr>
      <w:r>
        <w:separator/>
      </w:r>
    </w:p>
  </w:footnote>
  <w:footnote w:type="continuationSeparator" w:id="1">
    <w:p w:rsidR="00F77BBE" w:rsidRDefault="00F77BBE" w:rsidP="000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F4" w:rsidRDefault="00086FF4">
    <w:pPr>
      <w:framePr w:wrap="around" w:vAnchor="text" w:hAnchor="margin" w:xAlign="center" w:y="1"/>
    </w:pPr>
    <w:r>
      <w:fldChar w:fldCharType="begin"/>
    </w:r>
    <w:r w:rsidR="00F77BBE">
      <w:instrText xml:space="preserve">PAGE </w:instrText>
    </w:r>
    <w:r w:rsidR="007160F1">
      <w:fldChar w:fldCharType="separate"/>
    </w:r>
    <w:r w:rsidR="007160F1">
      <w:rPr>
        <w:noProof/>
      </w:rPr>
      <w:t>2</w:t>
    </w:r>
    <w:r>
      <w:fldChar w:fldCharType="end"/>
    </w:r>
  </w:p>
  <w:p w:rsidR="00086FF4" w:rsidRDefault="00086FF4">
    <w:pPr>
      <w:pStyle w:val="aa"/>
      <w:jc w:val="center"/>
      <w:rPr>
        <w:rFonts w:ascii="Times New Roman" w:hAnsi="Times New Roman"/>
        <w:sz w:val="24"/>
      </w:rPr>
    </w:pPr>
  </w:p>
  <w:p w:rsidR="00086FF4" w:rsidRDefault="00086FF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FF4"/>
    <w:rsid w:val="00086FF4"/>
    <w:rsid w:val="007160F1"/>
    <w:rsid w:val="00F7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86FF4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086FF4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086FF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86FF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86FF4"/>
    <w:pPr>
      <w:keepNext/>
      <w:spacing w:after="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086FF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86FF4"/>
  </w:style>
  <w:style w:type="paragraph" w:styleId="21">
    <w:name w:val="toc 2"/>
    <w:next w:val="a"/>
    <w:link w:val="22"/>
    <w:uiPriority w:val="39"/>
    <w:rsid w:val="00086FF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86FF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86FF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86FF4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086FF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86FF4"/>
  </w:style>
  <w:style w:type="paragraph" w:styleId="6">
    <w:name w:val="toc 6"/>
    <w:next w:val="a"/>
    <w:link w:val="60"/>
    <w:uiPriority w:val="39"/>
    <w:rsid w:val="00086FF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86FF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86FF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86FF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86FF4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  <w:rsid w:val="00086FF4"/>
  </w:style>
  <w:style w:type="paragraph" w:styleId="a5">
    <w:name w:val="No Spacing"/>
    <w:link w:val="a6"/>
    <w:rsid w:val="00086FF4"/>
    <w:pPr>
      <w:spacing w:after="0" w:line="240" w:lineRule="auto"/>
    </w:pPr>
  </w:style>
  <w:style w:type="character" w:customStyle="1" w:styleId="a6">
    <w:name w:val="Без интервала Знак"/>
    <w:link w:val="a5"/>
    <w:rsid w:val="00086FF4"/>
  </w:style>
  <w:style w:type="paragraph" w:styleId="a7">
    <w:name w:val="Balloon Text"/>
    <w:basedOn w:val="a"/>
    <w:link w:val="a8"/>
    <w:rsid w:val="00086FF4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086FF4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086FF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86FF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86FF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86FF4"/>
    <w:rPr>
      <w:rFonts w:ascii="Arial" w:hAnsi="Arial"/>
      <w:b/>
      <w:sz w:val="32"/>
    </w:rPr>
  </w:style>
  <w:style w:type="paragraph" w:customStyle="1" w:styleId="13">
    <w:name w:val="Гиперссылка1"/>
    <w:basedOn w:val="12"/>
    <w:link w:val="a9"/>
    <w:rsid w:val="00086FF4"/>
    <w:rPr>
      <w:color w:val="0563C1" w:themeColor="hyperlink"/>
      <w:u w:val="single"/>
    </w:rPr>
  </w:style>
  <w:style w:type="character" w:styleId="a9">
    <w:name w:val="Hyperlink"/>
    <w:basedOn w:val="a0"/>
    <w:link w:val="13"/>
    <w:rsid w:val="00086FF4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086FF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86FF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86FF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86F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86FF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86FF4"/>
    <w:rPr>
      <w:rFonts w:ascii="XO Thames" w:hAnsi="XO Thames"/>
      <w:sz w:val="20"/>
    </w:rPr>
  </w:style>
  <w:style w:type="paragraph" w:styleId="aa">
    <w:name w:val="header"/>
    <w:basedOn w:val="a"/>
    <w:link w:val="ab"/>
    <w:rsid w:val="0008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086FF4"/>
  </w:style>
  <w:style w:type="paragraph" w:styleId="9">
    <w:name w:val="toc 9"/>
    <w:next w:val="a"/>
    <w:link w:val="90"/>
    <w:uiPriority w:val="39"/>
    <w:rsid w:val="00086FF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86FF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86FF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86FF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86FF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86FF4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086FF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86FF4"/>
    <w:rPr>
      <w:rFonts w:ascii="XO Thames" w:hAnsi="XO Thames"/>
      <w:i/>
      <w:sz w:val="24"/>
    </w:rPr>
  </w:style>
  <w:style w:type="paragraph" w:styleId="ae">
    <w:name w:val="footer"/>
    <w:basedOn w:val="a"/>
    <w:link w:val="af"/>
    <w:rsid w:val="0008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sid w:val="00086FF4"/>
  </w:style>
  <w:style w:type="paragraph" w:styleId="af0">
    <w:name w:val="Title"/>
    <w:next w:val="a"/>
    <w:link w:val="af1"/>
    <w:uiPriority w:val="10"/>
    <w:qFormat/>
    <w:rsid w:val="00086FF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86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086FF4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sid w:val="00086FF4"/>
    <w:rPr>
      <w:rFonts w:ascii="XO Thames" w:hAnsi="XO Thames"/>
      <w:b/>
      <w:sz w:val="28"/>
    </w:rPr>
  </w:style>
  <w:style w:type="table" w:styleId="af2">
    <w:name w:val="Table Grid"/>
    <w:basedOn w:val="a1"/>
    <w:rsid w:val="00086F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№30</cp:lastModifiedBy>
  <cp:revision>3</cp:revision>
  <dcterms:created xsi:type="dcterms:W3CDTF">2023-04-03T07:46:00Z</dcterms:created>
  <dcterms:modified xsi:type="dcterms:W3CDTF">2023-04-03T07:46:00Z</dcterms:modified>
</cp:coreProperties>
</file>