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145F4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083993" w:rsidRPr="00643FFB" w:rsidRDefault="00062F59" w:rsidP="00BE0A6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</w:t>
      </w:r>
      <w:r w:rsidR="00BE0A65">
        <w:rPr>
          <w:rFonts w:ascii="Times New Roman" w:hAnsi="Times New Roman" w:cs="Times New Roman"/>
          <w:b/>
          <w:sz w:val="28"/>
          <w:szCs w:val="28"/>
        </w:rPr>
        <w:t xml:space="preserve">ванием дистанционных технологий </w:t>
      </w:r>
      <w:r w:rsidR="00F46849">
        <w:rPr>
          <w:rFonts w:ascii="Times New Roman" w:hAnsi="Times New Roman" w:cs="Times New Roman"/>
          <w:b/>
          <w:sz w:val="28"/>
          <w:szCs w:val="28"/>
        </w:rPr>
        <w:t>(13-18</w:t>
      </w:r>
      <w:r w:rsidR="00083993"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3F2399" w:rsidRPr="00643FFB" w:rsidTr="003F2399">
        <w:tc>
          <w:tcPr>
            <w:tcW w:w="1296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062F59" w:rsidRPr="00AE2FD2" w:rsidRDefault="0006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3F2399" w:rsidRPr="00643FFB" w:rsidTr="003F2399">
        <w:tc>
          <w:tcPr>
            <w:tcW w:w="1296" w:type="dxa"/>
          </w:tcPr>
          <w:p w:rsidR="00062F59" w:rsidRPr="003F2399" w:rsidRDefault="00462EEF" w:rsidP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F59"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062F59" w:rsidRPr="003F2399" w:rsidRDefault="00F4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062F59" w:rsidRPr="003F2399" w:rsidRDefault="00F46849" w:rsidP="00145F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9E7">
              <w:rPr>
                <w:rFonts w:ascii="Times New Roman" w:hAnsi="Times New Roman"/>
                <w:sz w:val="28"/>
                <w:szCs w:val="28"/>
              </w:rPr>
              <w:t>Цепи питания.</w:t>
            </w:r>
          </w:p>
        </w:tc>
        <w:tc>
          <w:tcPr>
            <w:tcW w:w="5670" w:type="dxa"/>
          </w:tcPr>
          <w:p w:rsidR="00FE22E9" w:rsidRPr="006E4323" w:rsidRDefault="00FE22E9" w:rsidP="00FE22E9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43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https://resh.edu.ru/subject/lstart/</w:t>
              </w:r>
            </w:hyperlink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(урок 33</w:t>
            </w:r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22E9" w:rsidRDefault="00FE22E9" w:rsidP="00E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E19" w:rsidRPr="00546019" w:rsidRDefault="000469C9" w:rsidP="00E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П.43, составить 3 пищевые цепи                                                (стр.208 рисунок 84), письменно ответить на вопросы 1-4 стр.209.</w:t>
            </w:r>
          </w:p>
        </w:tc>
        <w:tc>
          <w:tcPr>
            <w:tcW w:w="3402" w:type="dxa"/>
          </w:tcPr>
          <w:p w:rsidR="00023F06" w:rsidRDefault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62F59" w:rsidRPr="003F2399" w:rsidRDefault="00FC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C3E9B" w:rsidRPr="003F2399" w:rsidRDefault="00FC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 w:rsidR="000469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062F59" w:rsidRPr="003F2399" w:rsidRDefault="00B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  <w:r w:rsidR="003F239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83993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2399" w:rsidRPr="00643FFB" w:rsidTr="00462EEF">
        <w:trPr>
          <w:trHeight w:val="340"/>
        </w:trPr>
        <w:tc>
          <w:tcPr>
            <w:tcW w:w="15876" w:type="dxa"/>
            <w:gridSpan w:val="6"/>
          </w:tcPr>
          <w:p w:rsidR="003F2399" w:rsidRDefault="003F2399" w:rsidP="00462EEF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99" w:rsidRPr="00643FFB" w:rsidTr="003F2399">
        <w:tc>
          <w:tcPr>
            <w:tcW w:w="1296" w:type="dxa"/>
          </w:tcPr>
          <w:p w:rsidR="00083993" w:rsidRPr="003F2399" w:rsidRDefault="00F4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3993"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083993" w:rsidRPr="003F2399" w:rsidRDefault="00F4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083993" w:rsidRPr="00163DFE" w:rsidRDefault="00F4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E7">
              <w:rPr>
                <w:rFonts w:ascii="Times New Roman" w:hAnsi="Times New Roman"/>
                <w:sz w:val="28"/>
                <w:szCs w:val="28"/>
              </w:rPr>
              <w:t>Обмен веществ, поток и превращение энергии в биогеоценозе. Искусственные биоценозы.</w:t>
            </w:r>
          </w:p>
        </w:tc>
        <w:tc>
          <w:tcPr>
            <w:tcW w:w="5670" w:type="dxa"/>
          </w:tcPr>
          <w:p w:rsidR="00FE22E9" w:rsidRPr="006E4323" w:rsidRDefault="00FE22E9" w:rsidP="00FE22E9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E43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https://resh.edu.ru/subject/lstart/</w:t>
              </w:r>
            </w:hyperlink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(урок 34</w:t>
            </w:r>
            <w:bookmarkStart w:id="0" w:name="_GoBack"/>
            <w:bookmarkEnd w:id="0"/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22E9" w:rsidRDefault="00FE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81" w:rsidRDefault="0087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П.45</w:t>
            </w:r>
            <w:r w:rsidR="00BE0A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E0A65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BE0A6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BE0A65">
              <w:rPr>
                <w:rFonts w:ascii="Times New Roman" w:hAnsi="Times New Roman" w:cs="Times New Roman"/>
                <w:sz w:val="24"/>
                <w:szCs w:val="24"/>
              </w:rPr>
              <w:t>нформацию</w:t>
            </w:r>
            <w:proofErr w:type="spellEnd"/>
            <w:r w:rsidR="00BE0A65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«Искусственные </w:t>
            </w:r>
            <w:r w:rsidR="00B953A8">
              <w:rPr>
                <w:rFonts w:ascii="Times New Roman" w:hAnsi="Times New Roman" w:cs="Times New Roman"/>
                <w:sz w:val="24"/>
                <w:szCs w:val="24"/>
              </w:rPr>
              <w:t xml:space="preserve">и естественные </w:t>
            </w:r>
            <w:proofErr w:type="spellStart"/>
            <w:r w:rsidR="00B953A8">
              <w:rPr>
                <w:rFonts w:ascii="Times New Roman" w:hAnsi="Times New Roman" w:cs="Times New Roman"/>
                <w:sz w:val="24"/>
                <w:szCs w:val="24"/>
              </w:rPr>
              <w:t>экосистемы»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,письменно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вопросы:</w:t>
            </w:r>
          </w:p>
          <w:p w:rsidR="00872411" w:rsidRDefault="0087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1.Чем искусственная экосис</w:t>
            </w:r>
            <w:r w:rsidR="00AE2FD2">
              <w:rPr>
                <w:rFonts w:ascii="Times New Roman" w:hAnsi="Times New Roman" w:cs="Times New Roman"/>
                <w:sz w:val="24"/>
                <w:szCs w:val="24"/>
              </w:rPr>
              <w:t xml:space="preserve">тема отличается от </w:t>
            </w:r>
            <w:proofErr w:type="gramStart"/>
            <w:r w:rsidR="00AE2FD2">
              <w:rPr>
                <w:rFonts w:ascii="Times New Roman" w:hAnsi="Times New Roman" w:cs="Times New Roman"/>
                <w:sz w:val="24"/>
                <w:szCs w:val="24"/>
              </w:rPr>
              <w:t>естественной</w:t>
            </w:r>
            <w:proofErr w:type="gramEnd"/>
            <w:r w:rsidR="00AE2FD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2.Какую роль в сообществе играют автотрофные организмы? 3.Гетеротрофные организмы?</w:t>
            </w:r>
          </w:p>
          <w:p w:rsidR="00872411" w:rsidRPr="00163DFE" w:rsidRDefault="0087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46019" w:rsidRPr="003F2399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83993" w:rsidRPr="003F2399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 w:rsidR="000469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083993" w:rsidRPr="003F2399" w:rsidRDefault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3F239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83993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b/>
          <w:sz w:val="24"/>
          <w:szCs w:val="24"/>
          <w:lang w:eastAsia="ru-RU"/>
        </w:rPr>
        <w:t>Естественные и искусственные экосистемы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В биосфере помимо естественных биогеоценозов и экосистем существуют сообщества, искусственно созданные хозяйственной деятельностью человека, — антропогенные экосистемы.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Естественные экосистемы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 отличаются значительным видовым разнообразием, существуют длительное время, они способны к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, обладают большой стабильностью, устойчивостью. Созданная в них биомасса и питательные вещества остаются и используются в пределах биоценозов, обогащая их ресурсы.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Искусственные экосистемы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(поля пшеницы, картофеля, огороды, фермы с прилегающими пастбищами, рыбоводные пруды и др.) составляют небольшую часть поверхности суши, но дают около 90% пищевой энергии.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Развитие сельского хозяйства с древних времен сопровождалось полным уничтожением растительного покрова на значительных площадях для того, чтобы освободить место для небольшого количества отобранных человеком видов, наиболее пригодных для питания.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Однако первоначально деятельность человека в сельскохозяйственном обществе вписывалась в биохимический круговорот и не изменяла притока энергии в биосфере. В современном сельскохозяйственном производстве резко возросло использование синтезированной энергии при механической обработке земли, использовании удобрений и пестицидов. Это нарушает общий энергетический баланс биосферы, что может привести к непредсказуемым последствиям.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Искусственные экосистемы</w:t>
      </w:r>
      <w:r w:rsidR="00BE0A65"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="00BE0A6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Агроэкосистема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 (от греч.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agros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— поле) — биотическое сообщество, созданное и регулярно поддерживаемое человеком с целью получения сельскохозяйственной продукции. Обычно включает совокупность организмов, обитающих на землях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сельхозпользования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агроэкосистемам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 поля, сады, огороды, виноградники, крупные животноводческие комплексы с прилегающими искусственными пастбищами.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Характерная особенность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— малая экологическая надежность, но высокая урожайность одного (нескольких) видов или сортов культивируемых растений или животных. Главное их отличие от естественных экосистем — упрощенная структура и обедненный видовой состав.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отличаются от естественных экосистем рядом особенностей: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1.Разнообразие живых организмов в них резко снижено для получения максимально высокой продукции.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ржаном или пшеничном поле кроме злаковой монокультуры можно встретить разве что несколько видов сорняков. На естественном лугу биологическое разнообразие значительно выше, но биологическая продуктивность во много раз уступает засеянному полю.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- Искусственная регуляция численности вредителей — по большей части необходимое условие поддержания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. Поэтому в сельскохозяйственной практике применяют мощные средства подавления численности нежелательных видов: ядохимикаты, гербициды и т.д. Экологические последствия этих действий приводят, однако, к ряду нежелательных эффектов, кроме тех, для которых они применяются.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2.Виды сельскохозяйственных растений и животных в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агроэкосистемах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получены в результате действия искусственного, а не естественного отбора, и не могут выдерживать борьбу за существование с дикими видами без поддержки человека.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результате происходит резкое сужение генетической базы сельскохозяйственных культур, которые крайне чувствительны к массовому размножению вредителей и болезням.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более открыты, из них вещество и энергия изымаются с урожаем, животноводческой продукцией, а также в результате разрушения почв.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В естественных биоценозах первичная продукция растений потребляется в многочисленных цепях питания и вновь возвращается в систему биологического круговорота в виде углекислого газа, воды и элементов минерального питания.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В связи с постоянным изъятием урожая и нарушением процессов почвообразования, при длительном выращивании монокультуры на культурных землях постепенно происходит снижение плодородия почв. Данное положение в экологии называется </w:t>
      </w: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законом убывающего плодородия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Таким образом, для расчетливого и рационального ведения сельского хозяйства необходимо учитывать обеднение почвенных ресурсов и сохранять плодородие почв с помощью улучшенной агротехники, рационального севооборота и других приемов.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Смена растительного покрова в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агроэкосистемах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происходит не естественным путем, а по воле человека, что не всегда хорошо отражается на качестве входящих в нее абиотических факторов. Особенно это касается почвенного плодородия.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>Главное отличие 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от природных экосистем — </w:t>
      </w: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получение дополнительной энергии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> для нормального функционирования.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Под дополнительной понимается любой тип энергии, привносимой в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. Это может быть мускульная сила человека или животных, различные виды горючего для работы сельскохозяйственных машин, удобрения, пестициды, ядохимикаты, дополнительное освещение и т.д. В понятие «дополнительная энергия» входят также новые породы домашних животных и сорта культурных растений, внедряемые в структуру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отметить, что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— </w:t>
      </w: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крайне неустойчивые сообщества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>. Они не способны к самовосстановлению и саморегулированию, подвержены угрозе гибели от массового размножения вредителей или болезней.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Причина нестабильности состоит в том, что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слагаются одним (монокультуры) или реже максимум 2–3 видами. Именно поэтому любая болезнь, любой вредитель может уничтожить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. Однако человек сознательно идет на упрощение структуры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агроценоза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, чтобы получить максимальный выход продукции.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в гораздо большей степени, чем естественные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ценозы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(лес, луг, пастбища), подвержены эрозии, выщелачиванию, засолению и нашествию вредителей. Без участия человека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зерновых и овощных культур существуют не более года, ягодных растений – 3–4, плодовых культур – 20–30 лет. Затем они распадаются или отмирают.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Преимуществом </w:t>
      </w:r>
      <w:proofErr w:type="spellStart"/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агроценозов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 перед естественными экосистемами является производство необходимых для человека продуктов питания и большие возможности увеличения продуктивности. Однако они реализуются только при постоянной заботе о плодородии земли, обеспечении растений влагой, охране культурных популяций, сортов и пород растений и животных от неблагоприятных воздействий естественной флоры и фауны.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Все искусственно создаваемые в сельскохозяйственной практике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полей, садов, пастбищных лугов, огородов, теплиц представляют собой </w:t>
      </w:r>
      <w:r w:rsidRPr="00BE0A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системы, специально поддерживаемые человеком</w:t>
      </w:r>
      <w:r w:rsidRPr="00BE0A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В отношении к сообществам, складывающимся в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агроэкосистемах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, постепенно меняются акценты в связи с общим развитием экологических знаний. На смену представлениям об обрывочности,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осколочности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ценотических связей и предельной упрощенности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агроценозов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возникает понимание их сложной системной организации, где человек существенно влияет лишь на отдельные звенья, а вся система продолжает развиваться по естественным, природным законам.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С экологических позиций крайне опасно упрощать природное окружение человека, превращая весь ландшафт в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агрохозяйственный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>. Основная стратегия создания высокопродуктивного и устойчивого ландшафта должна заключаться в сохранении и умножении его многообразия.</w:t>
      </w:r>
    </w:p>
    <w:p w:rsidR="00AE2FD2" w:rsidRPr="00BE0A65" w:rsidRDefault="00AE2FD2" w:rsidP="00BE0A65">
      <w:pPr>
        <w:pStyle w:val="a5"/>
        <w:ind w:left="-567" w:right="-3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Наряду с поддержанием высокопродуктивных полей следует особенно заботиться о сохранении заповедных территорий, не подвергающихся антропогенному воздействию. Заповедники с богатым видовым разнообразием являются источником видов для </w:t>
      </w:r>
      <w:proofErr w:type="spellStart"/>
      <w:r w:rsidRPr="00BE0A65">
        <w:rPr>
          <w:rFonts w:ascii="Times New Roman" w:hAnsi="Times New Roman" w:cs="Times New Roman"/>
          <w:sz w:val="24"/>
          <w:szCs w:val="24"/>
          <w:lang w:eastAsia="ru-RU"/>
        </w:rPr>
        <w:t>восстанавливающихся</w:t>
      </w:r>
      <w:proofErr w:type="spellEnd"/>
      <w:r w:rsidRPr="00BE0A65">
        <w:rPr>
          <w:rFonts w:ascii="Times New Roman" w:hAnsi="Times New Roman" w:cs="Times New Roman"/>
          <w:sz w:val="24"/>
          <w:szCs w:val="24"/>
          <w:lang w:eastAsia="ru-RU"/>
        </w:rPr>
        <w:t xml:space="preserve"> в сукцессионных рядах сообществ.</w:t>
      </w:r>
    </w:p>
    <w:p w:rsidR="00AE2FD2" w:rsidRPr="00AE2FD2" w:rsidRDefault="00AE2FD2" w:rsidP="00AE2FD2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E2FD2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062F59" w:rsidRPr="00AE2FD2" w:rsidRDefault="00062F59" w:rsidP="003F2399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AE2FD2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23F06"/>
    <w:rsid w:val="00035D2D"/>
    <w:rsid w:val="000469C9"/>
    <w:rsid w:val="00062F59"/>
    <w:rsid w:val="00083993"/>
    <w:rsid w:val="00145F47"/>
    <w:rsid w:val="00163DFE"/>
    <w:rsid w:val="00264C2D"/>
    <w:rsid w:val="002901CE"/>
    <w:rsid w:val="003B5419"/>
    <w:rsid w:val="003F2399"/>
    <w:rsid w:val="004213D8"/>
    <w:rsid w:val="00462EEF"/>
    <w:rsid w:val="0046576B"/>
    <w:rsid w:val="004968A5"/>
    <w:rsid w:val="00546019"/>
    <w:rsid w:val="005656CC"/>
    <w:rsid w:val="005937B8"/>
    <w:rsid w:val="005C0655"/>
    <w:rsid w:val="00643FFB"/>
    <w:rsid w:val="00872411"/>
    <w:rsid w:val="00901C14"/>
    <w:rsid w:val="00A3373C"/>
    <w:rsid w:val="00A40240"/>
    <w:rsid w:val="00AE2FD2"/>
    <w:rsid w:val="00B953A8"/>
    <w:rsid w:val="00BE0A65"/>
    <w:rsid w:val="00C16BB5"/>
    <w:rsid w:val="00C276E2"/>
    <w:rsid w:val="00D10681"/>
    <w:rsid w:val="00E37E19"/>
    <w:rsid w:val="00EA671D"/>
    <w:rsid w:val="00F46849"/>
    <w:rsid w:val="00F97811"/>
    <w:rsid w:val="00FC3E9B"/>
    <w:rsid w:val="00FE22E9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E2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E2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star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sta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6833-F2F4-4DC1-8DF2-2ADFF913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Подгорновы</dc:creator>
  <cp:lastModifiedBy>Подгорновы</cp:lastModifiedBy>
  <cp:revision>16</cp:revision>
  <dcterms:created xsi:type="dcterms:W3CDTF">2020-04-07T08:44:00Z</dcterms:created>
  <dcterms:modified xsi:type="dcterms:W3CDTF">2020-04-11T18:42:00Z</dcterms:modified>
</cp:coreProperties>
</file>