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D7" w:rsidRPr="000578D7" w:rsidRDefault="000578D7" w:rsidP="000578D7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0578D7">
        <w:rPr>
          <w:rFonts w:eastAsia="Times New Roman"/>
          <w:b/>
          <w:bCs/>
          <w:iCs w:val="0"/>
          <w:kern w:val="36"/>
          <w:szCs w:val="24"/>
          <w:lang w:eastAsia="ru-RU"/>
        </w:rPr>
        <w:t>Аннотация к рабочим программам</w:t>
      </w:r>
      <w:bookmarkStart w:id="0" w:name="_GoBack"/>
      <w:bookmarkEnd w:id="0"/>
    </w:p>
    <w:p w:rsidR="000578D7" w:rsidRPr="000578D7" w:rsidRDefault="000578D7" w:rsidP="000578D7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0578D7">
        <w:rPr>
          <w:rFonts w:eastAsia="Times New Roman"/>
          <w:b/>
          <w:bCs/>
          <w:iCs w:val="0"/>
          <w:kern w:val="36"/>
          <w:szCs w:val="24"/>
          <w:lang w:eastAsia="ru-RU"/>
        </w:rPr>
        <w:t xml:space="preserve">внеурочной деятельности ООО </w:t>
      </w:r>
      <w:proofErr w:type="gramStart"/>
      <w:r w:rsidRPr="000578D7">
        <w:rPr>
          <w:rFonts w:eastAsia="Times New Roman"/>
          <w:b/>
          <w:bCs/>
          <w:iCs w:val="0"/>
          <w:kern w:val="36"/>
          <w:szCs w:val="24"/>
          <w:lang w:eastAsia="ru-RU"/>
        </w:rPr>
        <w:t>по</w:t>
      </w:r>
      <w:proofErr w:type="gramEnd"/>
    </w:p>
    <w:p w:rsidR="000578D7" w:rsidRPr="000578D7" w:rsidRDefault="000578D7" w:rsidP="000578D7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0578D7">
        <w:rPr>
          <w:rFonts w:eastAsia="Times New Roman"/>
          <w:b/>
          <w:bCs/>
          <w:iCs w:val="0"/>
          <w:kern w:val="36"/>
          <w:szCs w:val="24"/>
          <w:lang w:eastAsia="ru-RU"/>
        </w:rPr>
        <w:t>предмету  "Формирование функциональной грамотности"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Основной </w:t>
      </w:r>
      <w:r w:rsidRPr="000578D7">
        <w:rPr>
          <w:rFonts w:eastAsia="Times New Roman"/>
          <w:b/>
          <w:bCs/>
          <w:iCs w:val="0"/>
          <w:szCs w:val="24"/>
          <w:lang w:eastAsia="ru-RU"/>
        </w:rPr>
        <w:t>целью Программы</w:t>
      </w:r>
      <w:r w:rsidRPr="000578D7">
        <w:rPr>
          <w:rFonts w:eastAsia="Times New Roman"/>
          <w:iCs w:val="0"/>
          <w:szCs w:val="24"/>
          <w:lang w:eastAsia="ru-RU"/>
        </w:rPr>
        <w:t xml:space="preserve"> является развитие функциональной грамотности </w:t>
      </w:r>
      <w:proofErr w:type="gramStart"/>
      <w:r w:rsidRPr="000578D7">
        <w:rPr>
          <w:rFonts w:eastAsia="Times New Roman"/>
          <w:iCs w:val="0"/>
          <w:szCs w:val="24"/>
          <w:lang w:eastAsia="ru-RU"/>
        </w:rPr>
        <w:t>обучающихся</w:t>
      </w:r>
      <w:proofErr w:type="gramEnd"/>
      <w:r w:rsidRPr="000578D7">
        <w:rPr>
          <w:rFonts w:eastAsia="Times New Roman"/>
          <w:iCs w:val="0"/>
          <w:szCs w:val="24"/>
          <w:lang w:eastAsia="ru-RU"/>
        </w:rPr>
        <w:t xml:space="preserve"> </w:t>
      </w:r>
      <w:r>
        <w:rPr>
          <w:rFonts w:eastAsia="Times New Roman"/>
          <w:iCs w:val="0"/>
          <w:szCs w:val="24"/>
          <w:lang w:eastAsia="ru-RU"/>
        </w:rPr>
        <w:t>3 класса</w:t>
      </w:r>
      <w:r w:rsidRPr="000578D7">
        <w:rPr>
          <w:rFonts w:eastAsia="Times New Roman"/>
          <w:iCs w:val="0"/>
          <w:szCs w:val="24"/>
          <w:lang w:eastAsia="ru-RU"/>
        </w:rPr>
        <w:t xml:space="preserve"> как индикатора качества и эффективности образования, равенства доступа к образованию.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Программа нацелена на развитие: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·         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необходимы;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·         конструктивному,    активному     и          размышляющему      гражданину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(математическая грамотность);</w:t>
      </w:r>
    </w:p>
    <w:p w:rsidR="000578D7" w:rsidRPr="000578D7" w:rsidRDefault="000578D7" w:rsidP="000578D7">
      <w:pPr>
        <w:spacing w:after="0" w:line="240" w:lineRule="auto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·         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>участвовать в социальной жизни (читательская грамотность);</w:t>
      </w:r>
    </w:p>
    <w:p w:rsidR="000578D7" w:rsidRPr="000578D7" w:rsidRDefault="000578D7" w:rsidP="000578D7">
      <w:pPr>
        <w:spacing w:after="0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iCs w:val="0"/>
          <w:szCs w:val="24"/>
          <w:lang w:eastAsia="ru-RU"/>
        </w:rPr>
        <w:t xml:space="preserve">·         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0578D7">
        <w:rPr>
          <w:rFonts w:eastAsia="Times New Roman"/>
          <w:iCs w:val="0"/>
          <w:szCs w:val="24"/>
          <w:lang w:eastAsia="ru-RU"/>
        </w:rPr>
        <w:t>формулирования</w:t>
      </w:r>
      <w:proofErr w:type="gramEnd"/>
      <w:r w:rsidRPr="000578D7">
        <w:rPr>
          <w:rFonts w:eastAsia="Times New Roman"/>
          <w:iCs w:val="0"/>
          <w:szCs w:val="24"/>
          <w:lang w:eastAsia="ru-RU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</w:t>
      </w:r>
      <w:r w:rsidRPr="000578D7">
        <w:rPr>
          <w:rFonts w:eastAsia="Times New Roman"/>
          <w:i/>
          <w:szCs w:val="24"/>
          <w:lang w:eastAsia="ru-RU"/>
        </w:rPr>
        <w:t> </w:t>
      </w:r>
      <w:r w:rsidRPr="000578D7">
        <w:rPr>
          <w:rFonts w:eastAsia="Times New Roman"/>
          <w:iCs w:val="0"/>
          <w:szCs w:val="24"/>
          <w:lang w:eastAsia="ru-RU"/>
        </w:rPr>
        <w:t>сферы общества; проявлять активную</w:t>
      </w:r>
      <w:r w:rsidRPr="000578D7">
        <w:rPr>
          <w:rFonts w:eastAsia="Times New Roman"/>
          <w:i/>
          <w:szCs w:val="24"/>
          <w:lang w:eastAsia="ru-RU"/>
        </w:rPr>
        <w:t> </w:t>
      </w:r>
      <w:r w:rsidRPr="000578D7">
        <w:rPr>
          <w:rFonts w:eastAsia="Times New Roman"/>
          <w:iCs w:val="0"/>
          <w:szCs w:val="24"/>
          <w:lang w:eastAsia="ru-RU"/>
        </w:rPr>
        <w:t>гражданскую позицию при рассмотрении проблем, связанных с естествознанием (естественнонаучная грамотность).</w:t>
      </w:r>
    </w:p>
    <w:p w:rsidR="000578D7" w:rsidRPr="000578D7" w:rsidRDefault="000578D7" w:rsidP="000578D7">
      <w:pPr>
        <w:spacing w:after="0" w:line="240" w:lineRule="auto"/>
        <w:rPr>
          <w:rFonts w:eastAsia="Times New Roman"/>
          <w:iCs w:val="0"/>
          <w:szCs w:val="24"/>
          <w:lang w:eastAsia="ru-RU"/>
        </w:rPr>
      </w:pPr>
      <w:r w:rsidRPr="000578D7">
        <w:rPr>
          <w:rFonts w:eastAsia="Times New Roman"/>
          <w:b/>
          <w:bCs/>
          <w:iCs w:val="0"/>
          <w:szCs w:val="24"/>
          <w:lang w:eastAsia="ru-RU"/>
        </w:rPr>
        <w:t>В соответствии с планом внеурочной деятельности школы на 2022-2023 учебный год на изучение данной программы выделено: 34 ч.</w:t>
      </w:r>
    </w:p>
    <w:p w:rsidR="000578D7" w:rsidRPr="000578D7" w:rsidRDefault="000578D7" w:rsidP="000578D7">
      <w:pPr>
        <w:spacing w:after="0" w:line="240" w:lineRule="auto"/>
        <w:rPr>
          <w:szCs w:val="24"/>
        </w:rPr>
      </w:pPr>
    </w:p>
    <w:sectPr w:rsidR="000578D7" w:rsidRPr="0005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2C"/>
    <w:rsid w:val="000578D7"/>
    <w:rsid w:val="00203A29"/>
    <w:rsid w:val="0070692C"/>
    <w:rsid w:val="00C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75"/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75"/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2022-09-14T11:44:00Z</dcterms:created>
  <dcterms:modified xsi:type="dcterms:W3CDTF">2022-09-14T11:44:00Z</dcterms:modified>
</cp:coreProperties>
</file>