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package/2006/relationships/metadata/thumbnail" Target="docProps/thumbnail.jpeg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before="100" w:beforeAutospacing="1" w:after="100" w:afterAutospacing="1" w:line="240" w:lineRule="auto"/>
        <w:jc w:val="center"/>
        <w:rPr>
          <w:rFonts w:ascii="Times New Roman" w:eastAsia="Times New Roman" w:cs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17"/>
          <w:lang w:eastAsia="ru-RU"/>
        </w:rPr>
        <w:drawing>
          <wp:anchor distT="0" distB="0" distL="0" distR="0" simplePos="0" relativeHeight="10" behindDoc="0" locked="0" layoutInCell="1" hidden="0" allowOverlap="1">
            <wp:simplePos x="0" y="0"/>
            <wp:positionH relativeFrom="page">
              <wp:posOffset>1114425</wp:posOffset>
            </wp:positionH>
            <wp:positionV relativeFrom="page">
              <wp:posOffset>114300</wp:posOffset>
            </wp:positionV>
            <wp:extent cx="7153275" cy="7897494"/>
            <wp:effectExtent l="0" t="0" r="0" b="0"/>
            <wp:wrapNone/>
            <wp:docPr id="1" name="Изображения 1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3" name="Изображения 3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153275" cy="7897494"/>
                    </a:xfrm>
                    <a:prstGeom prst="rect"/>
                    <a:noFill/>
                    <a:ln w="12700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</w:p>
    <w:p>
      <w:pPr>
        <w:spacing w:before="100" w:beforeAutospacing="1" w:after="100" w:afterAutospacing="1" w:line="240" w:lineRule="auto"/>
        <w:jc w:val="center"/>
        <w:rPr>
          <w:rFonts w:ascii="Times New Roman" w:eastAsia="Times New Roman" w:cs="Times New Roman" w:hAnsi="Times New Roman"/>
          <w:b/>
          <w:sz w:val="24"/>
          <w:szCs w:val="24"/>
          <w:lang w:eastAsia="ru-RU"/>
        </w:rPr>
      </w:pPr>
    </w:p>
    <w:p>
      <w:pPr>
        <w:spacing w:before="100" w:beforeAutospacing="1" w:after="100" w:afterAutospacing="1" w:line="240" w:lineRule="auto"/>
        <w:jc w:val="center"/>
        <w:rPr>
          <w:rFonts w:ascii="Times New Roman" w:eastAsia="Times New Roman" w:cs="Times New Roman" w:hAnsi="Times New Roman"/>
          <w:b/>
          <w:sz w:val="24"/>
          <w:szCs w:val="24"/>
          <w:lang w:eastAsia="ru-RU"/>
        </w:rPr>
      </w:pPr>
    </w:p>
    <w:p>
      <w:pPr>
        <w:spacing w:before="100" w:beforeAutospacing="1" w:after="100" w:afterAutospacing="1" w:line="240" w:lineRule="auto"/>
        <w:jc w:val="center"/>
        <w:rPr>
          <w:rFonts w:ascii="Times New Roman" w:eastAsia="Times New Roman" w:cs="Times New Roman" w:hAnsi="Times New Roman"/>
          <w:b/>
          <w:sz w:val="24"/>
          <w:szCs w:val="24"/>
          <w:lang w:eastAsia="ru-RU"/>
        </w:rPr>
      </w:pPr>
    </w:p>
    <w:p>
      <w:pPr>
        <w:spacing w:before="100" w:beforeAutospacing="1" w:after="100" w:afterAutospacing="1" w:line="240" w:lineRule="auto"/>
        <w:jc w:val="center"/>
        <w:rPr>
          <w:rFonts w:ascii="Times New Roman" w:eastAsia="Times New Roman" w:cs="Times New Roman" w:hAnsi="Times New Roman"/>
          <w:b/>
          <w:sz w:val="24"/>
          <w:szCs w:val="24"/>
          <w:lang w:eastAsia="ru-RU"/>
        </w:rPr>
      </w:pPr>
    </w:p>
    <w:p>
      <w:pPr>
        <w:spacing w:before="100" w:beforeAutospacing="1" w:after="100" w:afterAutospacing="1" w:line="240" w:lineRule="auto"/>
        <w:jc w:val="center"/>
        <w:rPr>
          <w:rFonts w:ascii="Times New Roman" w:eastAsia="Times New Roman" w:cs="Times New Roman" w:hAnsi="Times New Roman"/>
          <w:b/>
          <w:sz w:val="24"/>
          <w:szCs w:val="24"/>
          <w:lang w:eastAsia="ru-RU"/>
        </w:rPr>
      </w:pPr>
    </w:p>
    <w:p>
      <w:pPr>
        <w:spacing w:before="100" w:beforeAutospacing="1" w:after="100" w:afterAutospacing="1" w:line="240" w:lineRule="auto"/>
        <w:jc w:val="center"/>
        <w:rPr>
          <w:rFonts w:ascii="Times New Roman" w:eastAsia="Times New Roman" w:cs="Times New Roman" w:hAnsi="Times New Roman"/>
          <w:b/>
          <w:sz w:val="24"/>
          <w:szCs w:val="24"/>
          <w:lang w:eastAsia="ru-RU"/>
        </w:rPr>
      </w:pPr>
    </w:p>
    <w:p>
      <w:pPr>
        <w:spacing w:before="100" w:beforeAutospacing="1" w:after="100" w:afterAutospacing="1" w:line="240" w:lineRule="auto"/>
        <w:jc w:val="center"/>
        <w:rPr>
          <w:rFonts w:ascii="Times New Roman" w:eastAsia="Times New Roman" w:cs="Times New Roman" w:hAnsi="Times New Roman"/>
          <w:b/>
          <w:sz w:val="24"/>
          <w:szCs w:val="24"/>
          <w:lang w:eastAsia="ru-RU"/>
        </w:rPr>
      </w:pPr>
    </w:p>
    <w:p>
      <w:pPr>
        <w:spacing w:before="100" w:beforeAutospacing="1" w:after="100" w:afterAutospacing="1" w:line="240" w:lineRule="auto"/>
        <w:jc w:val="center"/>
        <w:rPr>
          <w:rFonts w:ascii="Times New Roman" w:eastAsia="Times New Roman" w:cs="Times New Roman" w:hAnsi="Times New Roman"/>
          <w:b/>
          <w:sz w:val="24"/>
          <w:szCs w:val="24"/>
          <w:lang w:eastAsia="ru-RU"/>
        </w:rPr>
      </w:pPr>
    </w:p>
    <w:p>
      <w:pPr>
        <w:spacing w:before="100" w:beforeAutospacing="1" w:after="100" w:afterAutospacing="1" w:line="240" w:lineRule="auto"/>
        <w:jc w:val="center"/>
        <w:rPr>
          <w:rFonts w:ascii="Times New Roman" w:eastAsia="Times New Roman" w:cs="Times New Roman" w:hAnsi="Times New Roman"/>
          <w:b/>
          <w:sz w:val="24"/>
          <w:szCs w:val="24"/>
          <w:lang w:eastAsia="ru-RU"/>
        </w:rPr>
      </w:pPr>
    </w:p>
    <w:p>
      <w:pPr>
        <w:spacing w:before="100" w:beforeAutospacing="1" w:after="100" w:afterAutospacing="1" w:line="240" w:lineRule="auto"/>
        <w:jc w:val="center"/>
        <w:rPr>
          <w:rFonts w:ascii="Times New Roman" w:eastAsia="Times New Roman" w:cs="Times New Roman" w:hAnsi="Times New Roman"/>
          <w:b/>
          <w:sz w:val="24"/>
          <w:szCs w:val="24"/>
          <w:lang w:eastAsia="ru-RU"/>
        </w:rPr>
      </w:pPr>
    </w:p>
    <w:p>
      <w:pPr>
        <w:spacing w:before="100" w:beforeAutospacing="1" w:after="100" w:afterAutospacing="1" w:line="240" w:lineRule="auto"/>
        <w:jc w:val="center"/>
        <w:rPr>
          <w:rFonts w:ascii="Times New Roman" w:eastAsia="Times New Roman" w:cs="Times New Roman" w:hAnsi="Times New Roman"/>
          <w:b/>
          <w:sz w:val="24"/>
          <w:szCs w:val="24"/>
          <w:lang w:eastAsia="ru-RU"/>
        </w:rPr>
      </w:pPr>
    </w:p>
    <w:p>
      <w:pPr>
        <w:spacing w:before="100" w:beforeAutospacing="1" w:after="100" w:afterAutospacing="1" w:line="240" w:lineRule="auto"/>
        <w:jc w:val="center"/>
        <w:rPr>
          <w:rFonts w:ascii="Times New Roman" w:eastAsia="Times New Roman" w:cs="Times New Roman" w:hAnsi="Times New Roman"/>
          <w:b/>
          <w:sz w:val="24"/>
          <w:szCs w:val="24"/>
          <w:lang w:eastAsia="ru-RU"/>
        </w:rPr>
      </w:pPr>
    </w:p>
    <w:p>
      <w:pPr>
        <w:spacing w:before="100" w:beforeAutospacing="1" w:after="100" w:afterAutospacing="1" w:line="240" w:lineRule="auto"/>
        <w:jc w:val="center"/>
        <w:rPr>
          <w:rFonts w:ascii="Times New Roman" w:eastAsia="Times New Roman" w:cs="Times New Roman" w:hAnsi="Times New Roman"/>
          <w:b/>
          <w:sz w:val="24"/>
          <w:szCs w:val="24"/>
          <w:lang w:eastAsia="ru-RU"/>
        </w:rPr>
      </w:pPr>
    </w:p>
    <w:p>
      <w:pPr>
        <w:spacing w:before="100" w:beforeAutospacing="1" w:after="100" w:afterAutospacing="1" w:line="240" w:lineRule="auto"/>
        <w:jc w:val="center"/>
        <w:rPr>
          <w:rFonts w:ascii="Times New Roman" w:eastAsia="Times New Roman" w:cs="Times New Roman" w:hAnsi="Times New Roman"/>
          <w:b/>
          <w:sz w:val="24"/>
          <w:szCs w:val="24"/>
          <w:lang w:eastAsia="ru-RU"/>
        </w:rPr>
      </w:pPr>
    </w:p>
    <w:p>
      <w:pPr>
        <w:spacing w:before="100" w:beforeAutospacing="1" w:after="100" w:afterAutospacing="1" w:line="240" w:lineRule="auto"/>
        <w:jc w:val="center"/>
        <w:rPr>
          <w:rFonts w:ascii="Times New Roman" w:eastAsia="Times New Roman" w:cs="Times New Roman" w:hAnsi="Times New Roman"/>
          <w:b/>
          <w:sz w:val="24"/>
          <w:szCs w:val="24"/>
          <w:lang w:eastAsia="ru-RU"/>
        </w:rPr>
      </w:pPr>
    </w:p>
    <w:p>
      <w:pPr>
        <w:spacing w:before="100" w:beforeAutospacing="1" w:after="100" w:afterAutospacing="1" w:line="240" w:lineRule="auto"/>
        <w:jc w:val="center"/>
        <w:rPr>
          <w:rFonts w:ascii="Times New Roman" w:eastAsia="Times New Roman" w:cs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b/>
          <w:sz w:val="24"/>
          <w:szCs w:val="24"/>
          <w:lang w:eastAsia="ru-RU"/>
        </w:rPr>
        <w:t>Пояснительная записка</w:t>
      </w:r>
    </w:p>
    <w:p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 xml:space="preserve">Программа внеурочной деятельности «Читательская грамотность» (функциональная грамотность) адресована учащимся 5,7 классов общеобразовательной школы и является необходимым дополнением к программам всех учебных дисциплин, так как формирование навыков смыслового чтения является стратегической линией школьного образования в целом. 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 Рабочая программа для  5,7 классов составлена на основе: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- Федерального закона РФ от 29.12.2012 № 273-ФЗ "Об образовании в Российской Федерации";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- ФГОС основного общего образования, утвержденным Приказом Министерства образования и науки РФ от 17.12.2010 г. № 1897;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- СанПиН 2.4.2.2821-10 «Санитарно-эпидемиологические требования к условиям и организации обучения в общеобразовательных учреждениях», утвержден Постановлением Федеральной службы по надзору в сфере защиты прав потребителей и благополучия человека и Главного государственного санитарного врача РФ от 29.12.2010 №189;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 xml:space="preserve">– основными идеями «Национальной программы поддержки и развития чтения», разработанной Федеральным агентством по печати и массовым коммуникациям совместно с Российским книжным союзом, Законом Российской Федерации «Об образовании»; 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 xml:space="preserve">– учетом требований стандарта второго поколения (ФГОС) к личностным и метапредметным результатам освоения основной образовательной программы ООО: в п. 10 «Метапредметные результаты освоения основной образовательной программы основного общего образования» выделено отдельным умением «смысловое чтение». 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      Актуальность и значимость определяются новым стандартом, требованиями к новым результатам, новыми характеристиками подросткового возраста. 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      Новизна реализации программы учреждения заключается в использовании следующих педагогических технологий обучения: проблемно-диалогового обучения, творческой деятельности.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      В Федеральном государственном образовательном стандарте основного общего образования читательская грамотность рассматривается как один из планируемых результатов обучения. Требования ФГОС к читательской грамотности отражены в обобщенных планируемых результатах освоения учебных программ по всем предметам средней школы.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           В результате изучения всех предметов обучающиеся средней школы приобретают навыки работы с информацией. Они смогут осуществлять поиск информации, выделять и фиксировать нужную информацию, систематизировать, сопоставлять, анализировать и обобщать информацию, интерпретировать и преобразовывать ее.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          Обучающиеся научатся дополнять готовые информационные объекты (таблицы, схемы, тексты) и создавать свои собственные (сообщения, сочинения, графические работы). Овладеют навыками представления информации в наглядной форме (в виде таблиц, схем). Смогут использовать информацию для установления причинно-следственных связей и зависимостей, объяснения и доказательства фактов в учебных и практических ситуациях. Обучающиеся получат возможность научиться строить умозаключения и принимать решения на основе самостоятельно полученной информации, а также приобрести опыт критического отношения к получаемой информации, сопоставляя ее с информацией из других источников и имеющимся жизненным опытом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Изучение данной дисциплины в основной школе направлено на достижение следующих целей: 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- формирование читательской деятельности школьников;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- умения работать с различными видами текстов и создавать на их основе собственные тексты. 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 xml:space="preserve">Целевые ориентиры результатов воспитания, одобренной  решением федерального учебно-методического объединения по общему образованию (протокол от 23 июня 2022 г. № 3/22) 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Результаты достижения цели и решения задач воспитания представляются в форме целевых ориентиров ожидаемых результатов воспитания по основным направлениям воспитания в соответствии с ФГОС на уровне основного общего.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Целевые ориентиры результатов воспитания на уровне основного общего образования.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Направления воспитания</w:t>
        <w:tab/>
        <w:t>Целевые ориентиры. Гражданское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ab/>
        <w:t>Знающий и принимающий свою российскую гражданскую идентичность в поликультурном, многонациональном и многоконфессиональном российском обществе, в современном мировом сообществе.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Проявляющий уважение, ценностное отношение к государственным символам России, праздникам, традициям народа России.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Понимающий и принимающий свою сопричастность прошлому, настоящему и будущему народа м России, тысячелетней истории российской государственности.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Проявляющий готовность к выполнению обязанностей гражданина России, реализации своих гражданских прав и свобод.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Ориентированный на участие на основе взаимопонимания и взаимопомощи в разнообразной социально значимой деятельности, в том числе гуманитарной (добровольческие акции, помощь нуждающимся и т.п.).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Принимающий участие в жизни класса, школы (в том числе самоуправлении), местного сообщества, родного края.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Выражающий неприятие любой дискриминации граждан, проявлений экстремизма, терроризма, коррупции в обществе.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Патриотическое</w:t>
        <w:tab/>
        <w:t>Сознающий свою этнокультурную идентичность, любящий свой народ, его традиции, культуру.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Проявляющий уважение, ценностное отношение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стране.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Сознающий себя патриотом своего народа и народа России в целом, свою общероссийскую культурную идентичность.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 xml:space="preserve">Проявляющий интерес к познанию родного языка, истории, культуры своего народа, своего края, других народов России. 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Знающий и уважающий боевые подвиги и трудовые достижения своих земляков, жителей своего края, народа России, героев и защитников Отечества в прошлом и современности.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Знающий и уважающий достижения нашей общей Родины – России в науке, искусстве, спорте, технологиях.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 xml:space="preserve"> Направления воспитания 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Программа реализуется в единстве учебной и воспитательной деятельности школы в соответствии с ФГОС по направлениям воспитания: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- гражданское воспитание,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изучение и уважение прав, свобод и обязанностей гражданина Российской Федерации;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- патриотическое воспитание – воспитание любви к родному краю, Родине, своему народу, уважения к другим народам России, формирование общероссийской культурной идентичности;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 xml:space="preserve">Основная задача - научить ученика понимать прочитанное, обучить приёмам работы с текстом и осознанному применению этих приёмов, превратить их использование в привычку. 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         </w:t>
      </w:r>
      <w:r>
        <w:rPr>
          <w:rFonts w:ascii="Times New Roman" w:eastAsia="Times New Roman" w:cs="Times New Roman" w:hAnsi="Times New Roman"/>
          <w:b/>
          <w:sz w:val="24"/>
          <w:szCs w:val="24"/>
          <w:lang w:eastAsia="ru-RU"/>
        </w:rPr>
        <w:t xml:space="preserve">Курс рассчитан 0,25 часов для 5,7 класса 1 раз в месяц. </w:t>
      </w: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Срок реализации программы- 1 год.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 xml:space="preserve">Содержание курса включает следующее: 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- поиск информации и понимание текста;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- преобразование и интерпретация текста;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- критический анализ и оценка информации.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         Ожидаемые результаты реализации программы:</w:t>
      </w:r>
    </w:p>
    <w:p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Повышение культурной компетентности</w:t>
      </w:r>
    </w:p>
    <w:p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Повышение читательской компетентности</w:t>
      </w:r>
    </w:p>
    <w:p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Изменение отношения к чтению</w:t>
      </w:r>
    </w:p>
    <w:p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 xml:space="preserve">Рост читательской активности </w:t>
      </w:r>
    </w:p>
    <w:p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Развитие  мотивации к чтению</w:t>
      </w:r>
    </w:p>
    <w:p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Воспитание уважения к книге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                   Планируемые результаты изучения дисциплины «Формирование читательской компетентности»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 xml:space="preserve">Личностные универсальные учебные действия 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 xml:space="preserve">Ученик научится: </w:t>
      </w:r>
    </w:p>
    <w:p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определять основную тему, общую цель или назначение, главную идею текста; структурировать его, выделять главное и второстепенное;</w:t>
      </w:r>
    </w:p>
    <w:p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отвечать на вопросы, используя явно заданную в тексте информацию;</w:t>
      </w:r>
    </w:p>
    <w:p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 выстраивать последовательность описываемых событий, делать выводы по содержанию текста;</w:t>
      </w:r>
    </w:p>
    <w:p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сопоставлять основные текстовые и внетекстовые компоненты: обнаруживать соответствие между частью текста и его общей идеей; сопоставлять информацию из разных частей текста;</w:t>
      </w:r>
    </w:p>
    <w:p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объяснять назначение карты, рисунка, пояснять части графика, таблицы и т.п.; понимать смысл терминов, неизвестных слов;</w:t>
      </w:r>
    </w:p>
    <w:p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работать с метафорами – понимать переносный смысл выражений.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 xml:space="preserve">Регулятивные универсальные учебные действия 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 xml:space="preserve">Ученик сможет: </w:t>
      </w:r>
    </w:p>
    <w:p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обнаруживать в тексте доводы и подтверждение выдвинутых тезисов; делать выводы из сформулированных посылок, выводить заключение о намерении автора;</w:t>
      </w:r>
    </w:p>
    <w:p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формировать на основе текста систему аргументов (доводов) для обоснования определённой позиции; сопоставлять разные точки зрения и разные источники информации по данной теме.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 xml:space="preserve">Коммуникативные универсальные учебные действия 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 xml:space="preserve">Ученик научится: </w:t>
      </w:r>
    </w:p>
    <w:p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Устанавливать и вырабатывать разные точки зрения</w:t>
      </w:r>
    </w:p>
    <w:p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Аргументировать свою точку зрения</w:t>
      </w:r>
    </w:p>
    <w:p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Задавать вопрос</w:t>
      </w:r>
    </w:p>
    <w:p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Составлять план текста</w:t>
      </w:r>
    </w:p>
    <w:p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оценивать утверждения, сделанные в тексте, исходя из своих представлений и мире; находить доводы в защиту своей точки зрения;</w:t>
      </w:r>
    </w:p>
    <w:p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на основании имеющихся знаний, жизненного опыта подвергать сомнению достоверность   информации, обнаруживать недостоверность получаемой информации, пробелы в информации и находить пути восполнения этих пробелов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 xml:space="preserve">Ученик получит возможность научиться: 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 xml:space="preserve">- Продуктивно разрешать конфликты на основе учёта интересов и позиций всех участников, поиска и оценки альтернативных способов разрешения конфликтов; договариваться и приходить к общему решению в совместной деятельности. 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 xml:space="preserve">- Брать на себя инициативу в организации совместного действия (деловое лидерство). 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 xml:space="preserve">Предметные результаты обучения 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 xml:space="preserve">Ученик научится: 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 xml:space="preserve">- пользоваться знаками, символами, таблицами, схемами, приведенными в учебной литературе; строить сообщение в устной форме; 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 xml:space="preserve">- находить в материалах учебной литературы ответ на заданный вопрос; 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 xml:space="preserve">- ориентироваться на возможное разнообразие способов решения учебной задачи; 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 xml:space="preserve">- анализировать изучаемые объекты с выделением существенных и несущественных признаков; 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 xml:space="preserve">- анализировать объекты с выделением существенных и несущественных признаков (в коллективной организации деятельности); 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 xml:space="preserve">- осуществлять синтез как составление целого из частей; 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 xml:space="preserve">- проводить сравнение, классификацию изученных объектов по самостоятельно выделенным основаниям (критериям) при указании количества групп; 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 xml:space="preserve">- устанавливать причинно-следственные связи в изучаемом круге явлений; 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 xml:space="preserve">- проводить аналогии между изучаемым материалом и собственным опытом. 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 xml:space="preserve">Ученик получит возможность научиться: 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 xml:space="preserve">- выделять информацию из сообщений разных видов в соответствии с учебной задачей; 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 xml:space="preserve">- осуществлять запись (фиксацию) указанной учителем информации об изучаемом языковом факте; 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 xml:space="preserve">- проводить сравнение, сериацию и классификацию изученных объектов по самостоятельно выделенным основаниям (критериям) при указании и без указания количества групп; 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 xml:space="preserve">- обобщать (выводить общее для целого ряда единичных объектов). 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       Система оценки достижений учащихся 7 класса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 Система оценивания знаний учащихся проводится в форме зачете/незачета    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        Виды контроля: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-практические, самостоятельные и контрольные работы.</w:t>
      </w:r>
    </w:p>
    <w:p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 Принципы отбора содержания образования связаны с преемственностью целей образования на различных ступенях и уровнях обучения, логикой внутрипредметных связей, а также с учетом возрастных особенностей развития учащихся.</w:t>
      </w:r>
    </w:p>
    <w:p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Личностная ориентация образовательного процесса выявляет приоритет воспитательных и развивающих целей обучения. Способность учащихся понимать причины и логику развития языковых процессов открывает возможность для осмысленного восприятия всего разнообразия мировоззренческих, социокультурных систем, существующих в современном мире. Система учебных занятий призвана способствовать развитию личностной самоидентификации, гуманитарной культуры школьников, их приобщению к ценностям национальной и мировой культуры, усилению мотивации к социальному познанию и творчеству, воспитанию личностно и общественно востребованных качеств, в том числе гражданственности, толерантности.</w:t>
      </w:r>
    </w:p>
    <w:p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Деятельностный подход отражает стратегию современной образовательной политики: необходимость воспитания человека и гражданина, интегрированного в современное ему общество, нацеленного на совершенствование этого общества. Система уроков сориентирована не столько на передачу «готовых знаний», сколько на формирование активной личности, мотивированной к самообразованию, обладающей достаточными навыками и психологическими установками к самостоятельному поиску, отбору, анализу и использованию информации.</w:t>
      </w:r>
    </w:p>
    <w:p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Содержание стандарта реализуется следующими видами усложняющейся учебной деятельности: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- рецептивная деятельность: чтение и полноценное восприятие художественного текста;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- репродуктивная деятельность: осмысление сюжета произведения, изображенных в нем событий, характеров, реалий (осуществляется в виде разного типа пересказов (близких к тексту, кратких, выборочных, с соответствующими лексико-стилистическими заданиями и изменением лица рассказчика); ответов на вопросы репродуктивного характера);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- продуктивная творческая деятельность: сочинение разных жанров, выразительное чтение художественных текстов, устное словесное рисование;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- поисковая деятельность: самостоятельный поиск ответа на проблемные вопросы, комментирование художественного произведения, установление ассоциативных связей с произведениями других видов искусства;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- исследовательская деятельность: анализ и сопоставление подобных текстов и выявление в них общих и своеобразных черт.</w:t>
      </w:r>
    </w:p>
    <w:p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Главным при изучении предмета остается работа с текстом, что закономерно является важнейшим приоритетом в преподавании данной дисциплины.</w:t>
      </w:r>
    </w:p>
    <w:p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Программа базируется на межпредметных связях с русским языком, литературой, историей, экологией, риторикой, географией, обществознанием.</w:t>
      </w:r>
    </w:p>
    <w:p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cs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i/>
          <w:sz w:val="24"/>
          <w:szCs w:val="24"/>
          <w:lang w:eastAsia="ru-RU"/>
        </w:rPr>
        <w:t>Личностные, метапредметные и предметные результаты освоения данного курса в основной школе.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Личностные результаты: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- воспитание российской гражданской идентичности: патриотизма, любви и уважения к Отечеству, чувства гордости за свою Родину,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- формирование ответственного отношения к учению, готовности и способности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интересов;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- 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-  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нём взаимопонимания;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- 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 общественной жизни в пределах возрастных компетенций с учётом региональных, этнокультурных, социальных и экономических особенностей;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-  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- формирование коммуникативной компетентности в общении и сотрудничестве со сверстниками, старшими и младшими в процессе образовательной, общественно полезной, учебно-исследовательской, творческой и других видов деятельности;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- формирование основ экологической культуры на основе признания ценности жизни во всех её проявлениях и необходимости ответственного, бережного отношения к окружающей среде;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- 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- 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Метапредметные результаты изучения литературы в основной школе: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- 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- 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-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- умение оценивать правильность выполнения учебной задачи, собственные возможности её решения;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- 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- 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 и по аналогии) и делать выводы;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-  умение создавать, применять и преобразовывать знаки и символы, модели и схемы для решения учебных и познавательных задач;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смысловое чтение;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- 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учёта интересов; формулировать, аргументировать и отстаивать своё мнение;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- умение осознанно использовать речевые средства в соответствии с задачей коммуникации, для выражения своих чувств, мыслей и потребностей; планирования и регуляции своей деятельности; владение устной и письменной речью; монологической контекстной речью;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 - формирование и развитие компетентности в области использования информационно-коммуникационных технологий.</w:t>
      </w:r>
    </w:p>
    <w:p>
      <w:pPr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Предметные результаты обучающихся    выражаются в следующем: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- понимание текста, выявление заложенных в них вневременных, непреходящих нравственных ценностей и их современного звучания;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- умение анализировать текст: определять его принадлежность к одному из литературных родов и жанров; понимать и формулировать тему, идею;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 xml:space="preserve">- определение элементов сюжета, композиции, изобразительно-выразительных средств языка, понимание их роли в раскрытии идейно-художественного содержания текста; 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- владение элементарной литературоведческой терминологией при анализе   текста;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-собственная интерпретация, понимание авторской позиции и своё отношение к ней.</w:t>
      </w:r>
    </w:p>
    <w:p>
      <w:pPr>
        <w:spacing w:before="100" w:beforeAutospacing="1" w:after="100" w:afterAutospacing="1" w:line="240" w:lineRule="auto"/>
        <w:jc w:val="center"/>
        <w:rPr>
          <w:rFonts w:ascii="Times New Roman" w:eastAsia="Times New Roman" w:cs="Times New Roman" w:hAnsi="Times New Roman"/>
          <w:b/>
          <w:sz w:val="24"/>
          <w:szCs w:val="24"/>
          <w:lang w:eastAsia="ru-RU"/>
        </w:rPr>
      </w:pPr>
    </w:p>
    <w:p>
      <w:pPr>
        <w:spacing w:before="100" w:beforeAutospacing="1" w:after="100" w:afterAutospacing="1" w:line="240" w:lineRule="auto"/>
        <w:jc w:val="center"/>
        <w:rPr>
          <w:rFonts w:ascii="Times New Roman" w:eastAsia="Times New Roman" w:cs="Times New Roman" w:hAnsi="Times New Roman"/>
          <w:b/>
          <w:sz w:val="24"/>
          <w:szCs w:val="24"/>
          <w:lang w:eastAsia="ru-RU"/>
        </w:rPr>
      </w:pPr>
    </w:p>
    <w:p>
      <w:pPr>
        <w:spacing w:before="100" w:beforeAutospacing="1" w:after="100" w:afterAutospacing="1" w:line="240" w:lineRule="auto"/>
        <w:jc w:val="center"/>
        <w:rPr>
          <w:rFonts w:ascii="Times New Roman" w:eastAsia="Times New Roman" w:cs="Times New Roman" w:hAnsi="Times New Roman"/>
          <w:b/>
          <w:sz w:val="24"/>
          <w:szCs w:val="24"/>
          <w:lang w:eastAsia="ru-RU"/>
        </w:rPr>
      </w:pPr>
    </w:p>
    <w:p>
      <w:pPr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b/>
          <w:sz w:val="24"/>
          <w:szCs w:val="24"/>
          <w:lang w:eastAsia="ru-RU"/>
        </w:rPr>
      </w:pPr>
    </w:p>
    <w:p>
      <w:pPr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b/>
          <w:sz w:val="24"/>
          <w:szCs w:val="24"/>
          <w:lang w:eastAsia="ru-RU"/>
        </w:rPr>
      </w:pPr>
    </w:p>
    <w:p>
      <w:pPr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b/>
          <w:sz w:val="24"/>
          <w:szCs w:val="24"/>
          <w:lang w:eastAsia="ru-RU"/>
        </w:rPr>
      </w:pPr>
    </w:p>
    <w:p>
      <w:pPr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</w:p>
    <w:p>
      <w:pPr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</w:p>
    <w:p>
      <w:pPr>
        <w:spacing w:before="100" w:beforeAutospacing="1" w:after="100" w:afterAutospacing="1" w:line="240" w:lineRule="auto"/>
        <w:jc w:val="center"/>
        <w:rPr>
          <w:rFonts w:ascii="Times New Roman" w:eastAsia="Times New Roman" w:cs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b/>
          <w:sz w:val="24"/>
          <w:szCs w:val="24"/>
          <w:lang w:eastAsia="ru-RU"/>
        </w:rPr>
        <w:t>Календарно-тематическое планирование занятий по читательской грамотности 5 класса</w:t>
      </w:r>
    </w:p>
    <w:tbl>
      <w:tblPr>
        <w:jc w:val="left"/>
        <w:tblInd w:w="35" w:type="dxa"/>
        <w:tblW w:w="15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11"/>
        <w:gridCol w:w="1291"/>
        <w:gridCol w:w="1502"/>
        <w:gridCol w:w="8080"/>
        <w:gridCol w:w="3827"/>
      </w:tblGrid>
      <w:tr>
        <w:trPr>
          <w:trHeight w:val="389"/>
        </w:trPr>
        <w:tc>
          <w:tcPr>
            <w:tcW w:w="711" w:type="dxa"/>
            <w:vMerge w:val="restart"/>
          </w:tcPr>
          <w:p>
            <w:pPr>
              <w:pStyle w:val="15"/>
              <w:snapToGrid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793" w:type="dxa"/>
            <w:gridSpan w:val="2"/>
          </w:tcPr>
          <w:p>
            <w:pPr>
              <w:pStyle w:val="15"/>
              <w:snapToGrid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Дата</w:t>
            </w:r>
          </w:p>
        </w:tc>
        <w:tc>
          <w:tcPr>
            <w:tcW w:w="8080" w:type="dxa"/>
            <w:vMerge w:val="restart"/>
          </w:tcPr>
          <w:p>
            <w:pPr>
              <w:pStyle w:val="15"/>
              <w:snapToGrid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урока</w:t>
            </w:r>
          </w:p>
        </w:tc>
        <w:tc>
          <w:tcPr>
            <w:tcW w:w="3827" w:type="dxa"/>
            <w:vMerge w:val="restart"/>
          </w:tcPr>
          <w:p>
            <w:pPr>
              <w:pStyle w:val="15"/>
              <w:snapToGrid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Форма организации</w:t>
            </w:r>
          </w:p>
        </w:tc>
      </w:tr>
      <w:tr>
        <w:trPr>
          <w:trHeight w:val="170"/>
        </w:trPr>
        <w:tc>
          <w:tcPr>
            <w:tcW w:w="711" w:type="dxa"/>
            <w:vMerge/>
          </w:tcPr>
          <w:p/>
        </w:tc>
        <w:tc>
          <w:tcPr>
            <w:tcW w:w="1291" w:type="dxa"/>
          </w:tcPr>
          <w:p>
            <w:pPr>
              <w:pStyle w:val="15"/>
              <w:snapToGrid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 плану</w:t>
            </w:r>
          </w:p>
        </w:tc>
        <w:tc>
          <w:tcPr>
            <w:tcW w:w="1502" w:type="dxa"/>
          </w:tcPr>
          <w:p>
            <w:pPr>
              <w:pStyle w:val="15"/>
              <w:snapToGrid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Фактически</w:t>
            </w:r>
          </w:p>
        </w:tc>
        <w:tc>
          <w:tcPr>
            <w:tcW w:w="8080" w:type="dxa"/>
            <w:vMerge/>
          </w:tcPr>
          <w:p/>
        </w:tc>
        <w:tc>
          <w:tcPr>
            <w:tcW w:w="3827" w:type="dxa"/>
            <w:vMerge/>
          </w:tcPr>
          <w:p/>
        </w:tc>
      </w:tr>
      <w:tr>
        <w:trPr>
          <w:trHeight w:val="170"/>
        </w:trPr>
        <w:tc>
          <w:tcPr>
            <w:tcW w:w="711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91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02</w:t>
            </w:r>
            <w:r>
              <w:rPr>
                <w:rFonts w:ascii="Times New Roman" w:hAnsi="Times New Roman"/>
              </w:rPr>
              <w:t>.09</w:t>
            </w:r>
          </w:p>
        </w:tc>
        <w:tc>
          <w:tcPr>
            <w:tcW w:w="1502" w:type="dxa"/>
          </w:tcPr>
          <w:p>
            <w:p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</w:tcPr>
          <w:p>
            <w:p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Восприятие на слух и понимание различных видов сообщений</w:t>
            </w:r>
          </w:p>
        </w:tc>
        <w:tc>
          <w:tcPr>
            <w:tcW w:w="3827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Вводное игровое занятие</w:t>
            </w:r>
          </w:p>
        </w:tc>
      </w:tr>
      <w:tr>
        <w:trPr>
          <w:trHeight w:val="170"/>
        </w:trPr>
        <w:tc>
          <w:tcPr>
            <w:tcW w:w="711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91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  <w:tc>
          <w:tcPr>
            <w:tcW w:w="1502" w:type="dxa"/>
          </w:tcPr>
          <w:p>
            <w:p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</w:tcPr>
          <w:p>
            <w:p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Типология текстов. Речевая ситуация</w:t>
            </w:r>
          </w:p>
        </w:tc>
        <w:tc>
          <w:tcPr>
            <w:tcW w:w="3827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Лекционное занятие</w:t>
            </w:r>
          </w:p>
        </w:tc>
      </w:tr>
      <w:tr>
        <w:trPr>
          <w:trHeight w:val="170"/>
        </w:trPr>
        <w:tc>
          <w:tcPr>
            <w:tcW w:w="711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91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  <w:r>
              <w:rPr>
                <w:rFonts w:ascii="Times New Roman" w:hAnsi="Times New Roman"/>
              </w:rPr>
              <w:t>.11</w:t>
            </w:r>
          </w:p>
        </w:tc>
        <w:tc>
          <w:tcPr>
            <w:tcW w:w="1502" w:type="dxa"/>
          </w:tcPr>
          <w:p>
            <w:p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</w:tcPr>
          <w:p>
            <w:p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Функционально-стилевая дифференциация текстов (разговорный стиль, художественный стиль, официально-деловой стиль, научный стиль)</w:t>
            </w:r>
          </w:p>
        </w:tc>
        <w:tc>
          <w:tcPr>
            <w:tcW w:w="3827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</w:t>
            </w:r>
          </w:p>
        </w:tc>
      </w:tr>
      <w:tr>
        <w:trPr>
          <w:trHeight w:val="170"/>
        </w:trPr>
        <w:tc>
          <w:tcPr>
            <w:tcW w:w="711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91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09.12</w:t>
            </w:r>
          </w:p>
        </w:tc>
        <w:tc>
          <w:tcPr>
            <w:tcW w:w="1502" w:type="dxa"/>
          </w:tcPr>
          <w:p>
            <w:p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</w:tcPr>
          <w:p>
            <w:p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Языковые особенности разных стилей речи. Жанр текста</w:t>
            </w:r>
          </w:p>
        </w:tc>
        <w:tc>
          <w:tcPr>
            <w:tcW w:w="3827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 материала и анализ</w:t>
            </w:r>
          </w:p>
        </w:tc>
      </w:tr>
      <w:tr>
        <w:trPr>
          <w:trHeight w:val="170"/>
        </w:trPr>
        <w:tc>
          <w:tcPr>
            <w:tcW w:w="711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91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13.01</w:t>
            </w:r>
          </w:p>
        </w:tc>
        <w:tc>
          <w:tcPr>
            <w:tcW w:w="1502" w:type="dxa"/>
          </w:tcPr>
          <w:p>
            <w:p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</w:tcPr>
          <w:p>
            <w:p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Понимание текста с опорой на тип, стиль, жанр, структуру и языковые средства</w:t>
            </w:r>
          </w:p>
        </w:tc>
        <w:tc>
          <w:tcPr>
            <w:tcW w:w="3827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Групповая работа</w:t>
            </w:r>
          </w:p>
        </w:tc>
      </w:tr>
      <w:tr>
        <w:trPr>
          <w:trHeight w:val="170"/>
        </w:trPr>
        <w:tc>
          <w:tcPr>
            <w:tcW w:w="711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291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10.02</w:t>
            </w:r>
          </w:p>
        </w:tc>
        <w:tc>
          <w:tcPr>
            <w:tcW w:w="1502" w:type="dxa"/>
          </w:tcPr>
          <w:p>
            <w:p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</w:tcPr>
          <w:p>
            <w:p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Осознанное чтение текстов с целью удовлетворения интереса, приобретения читательского опыта, освоения и использования информации</w:t>
            </w:r>
          </w:p>
        </w:tc>
        <w:tc>
          <w:tcPr>
            <w:tcW w:w="3827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Чтение </w:t>
            </w:r>
          </w:p>
        </w:tc>
      </w:tr>
      <w:tr>
        <w:trPr>
          <w:trHeight w:val="170"/>
        </w:trPr>
        <w:tc>
          <w:tcPr>
            <w:tcW w:w="711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291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10.03</w:t>
            </w:r>
          </w:p>
        </w:tc>
        <w:tc>
          <w:tcPr>
            <w:tcW w:w="1502" w:type="dxa"/>
          </w:tcPr>
          <w:p>
            <w:p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</w:tcPr>
          <w:p>
            <w:p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Текст, тема текста, ос</w:t>
              <w:softHyphen/>
              <w:t>новная мысль, идея.</w:t>
            </w:r>
          </w:p>
        </w:tc>
        <w:tc>
          <w:tcPr>
            <w:tcW w:w="3827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Беседа, круглый стол</w:t>
            </w:r>
          </w:p>
        </w:tc>
      </w:tr>
      <w:tr>
        <w:trPr>
          <w:trHeight w:val="169"/>
        </w:trPr>
        <w:tc>
          <w:tcPr>
            <w:tcW w:w="711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291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14.04</w:t>
            </w:r>
          </w:p>
        </w:tc>
        <w:tc>
          <w:tcPr>
            <w:tcW w:w="1502" w:type="dxa"/>
          </w:tcPr>
          <w:p>
            <w:p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</w:tcPr>
          <w:p>
            <w:p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Авторская позиция</w:t>
            </w:r>
          </w:p>
        </w:tc>
        <w:tc>
          <w:tcPr>
            <w:tcW w:w="3827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</w:t>
            </w:r>
          </w:p>
        </w:tc>
      </w:tr>
      <w:tr>
        <w:trPr>
          <w:trHeight w:val="169"/>
        </w:trPr>
        <w:tc>
          <w:tcPr>
            <w:tcW w:w="711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291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12.05</w:t>
            </w:r>
          </w:p>
        </w:tc>
        <w:tc>
          <w:tcPr>
            <w:tcW w:w="1502" w:type="dxa"/>
          </w:tcPr>
          <w:p>
            <w:p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</w:tcPr>
          <w:p>
            <w:p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Итоги года</w:t>
            </w:r>
          </w:p>
        </w:tc>
        <w:tc>
          <w:tcPr>
            <w:tcW w:w="3827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</w:t>
            </w:r>
            <w:bookmarkStart w:id="0" w:name="_GoBack"/>
            <w:bookmarkEnd w:id="0"/>
          </w:p>
        </w:tc>
      </w:tr>
    </w:tbl>
    <w:p>
      <w:pPr>
        <w:spacing w:line="360" w:lineRule="auto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before="100" w:beforeAutospacing="1" w:after="100" w:afterAutospacing="1" w:line="240" w:lineRule="auto"/>
        <w:jc w:val="center"/>
        <w:rPr>
          <w:rFonts w:ascii="Times New Roman" w:eastAsia="Times New Roman" w:cs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b/>
          <w:sz w:val="24"/>
          <w:szCs w:val="24"/>
          <w:lang w:eastAsia="ru-RU"/>
        </w:rPr>
        <w:t>Календарно-тематическое планирование занятий по читательской грамотности 7 класса</w:t>
      </w:r>
    </w:p>
    <w:tbl>
      <w:tblPr>
        <w:jc w:val="left"/>
        <w:tblInd w:w="35" w:type="dxa"/>
        <w:tblW w:w="15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11"/>
        <w:gridCol w:w="1291"/>
        <w:gridCol w:w="1502"/>
        <w:gridCol w:w="8080"/>
        <w:gridCol w:w="3827"/>
      </w:tblGrid>
      <w:tr>
        <w:trPr>
          <w:trHeight w:val="389"/>
        </w:trPr>
        <w:tc>
          <w:tcPr>
            <w:tcW w:w="711" w:type="dxa"/>
            <w:vMerge w:val="restart"/>
          </w:tcPr>
          <w:p>
            <w:pPr>
              <w:pStyle w:val="15"/>
              <w:snapToGrid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793" w:type="dxa"/>
            <w:gridSpan w:val="2"/>
          </w:tcPr>
          <w:p>
            <w:pPr>
              <w:pStyle w:val="15"/>
              <w:snapToGrid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Дата</w:t>
            </w:r>
          </w:p>
        </w:tc>
        <w:tc>
          <w:tcPr>
            <w:tcW w:w="8080" w:type="dxa"/>
            <w:vMerge w:val="restart"/>
          </w:tcPr>
          <w:p>
            <w:pPr>
              <w:pStyle w:val="15"/>
              <w:snapToGrid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урока</w:t>
            </w:r>
          </w:p>
        </w:tc>
        <w:tc>
          <w:tcPr>
            <w:tcW w:w="3827" w:type="dxa"/>
            <w:vMerge w:val="restart"/>
          </w:tcPr>
          <w:p>
            <w:pPr>
              <w:pStyle w:val="15"/>
              <w:snapToGrid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Форма организации</w:t>
            </w:r>
          </w:p>
        </w:tc>
      </w:tr>
      <w:tr>
        <w:trPr>
          <w:trHeight w:val="170"/>
        </w:trPr>
        <w:tc>
          <w:tcPr>
            <w:tcW w:w="711" w:type="dxa"/>
            <w:vMerge/>
          </w:tcPr>
          <w:p/>
        </w:tc>
        <w:tc>
          <w:tcPr>
            <w:tcW w:w="1291" w:type="dxa"/>
          </w:tcPr>
          <w:p>
            <w:pPr>
              <w:pStyle w:val="15"/>
              <w:snapToGrid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 плану</w:t>
            </w:r>
          </w:p>
        </w:tc>
        <w:tc>
          <w:tcPr>
            <w:tcW w:w="1502" w:type="dxa"/>
          </w:tcPr>
          <w:p>
            <w:pPr>
              <w:pStyle w:val="15"/>
              <w:snapToGrid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Фактически</w:t>
            </w:r>
          </w:p>
        </w:tc>
        <w:tc>
          <w:tcPr>
            <w:tcW w:w="8080" w:type="dxa"/>
            <w:vMerge/>
          </w:tcPr>
          <w:p/>
        </w:tc>
        <w:tc>
          <w:tcPr>
            <w:tcW w:w="3827" w:type="dxa"/>
            <w:vMerge/>
          </w:tcPr>
          <w:p/>
        </w:tc>
      </w:tr>
      <w:tr>
        <w:trPr>
          <w:trHeight w:val="170"/>
        </w:trPr>
        <w:tc>
          <w:tcPr>
            <w:tcW w:w="711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91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16.09</w:t>
            </w:r>
          </w:p>
        </w:tc>
        <w:tc>
          <w:tcPr>
            <w:tcW w:w="1502" w:type="dxa"/>
          </w:tcPr>
          <w:p>
            <w:p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</w:tcPr>
          <w:p>
            <w:p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Восприятие на слух и понимание различных видов сообщений</w:t>
            </w:r>
          </w:p>
        </w:tc>
        <w:tc>
          <w:tcPr>
            <w:tcW w:w="3827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Вводное игровое занятие</w:t>
            </w:r>
          </w:p>
        </w:tc>
      </w:tr>
      <w:tr>
        <w:trPr>
          <w:trHeight w:val="170"/>
        </w:trPr>
        <w:tc>
          <w:tcPr>
            <w:tcW w:w="711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91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14.10</w:t>
            </w:r>
          </w:p>
        </w:tc>
        <w:tc>
          <w:tcPr>
            <w:tcW w:w="1502" w:type="dxa"/>
          </w:tcPr>
          <w:p>
            <w:p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</w:tcPr>
          <w:p>
            <w:p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Типология текстов. Речевая ситуация</w:t>
            </w:r>
          </w:p>
        </w:tc>
        <w:tc>
          <w:tcPr>
            <w:tcW w:w="3827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Лекционное занятие</w:t>
            </w:r>
          </w:p>
        </w:tc>
      </w:tr>
      <w:tr>
        <w:trPr>
          <w:trHeight w:val="170"/>
        </w:trPr>
        <w:tc>
          <w:tcPr>
            <w:tcW w:w="711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91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25.11</w:t>
            </w:r>
          </w:p>
        </w:tc>
        <w:tc>
          <w:tcPr>
            <w:tcW w:w="1502" w:type="dxa"/>
          </w:tcPr>
          <w:p>
            <w:p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</w:tcPr>
          <w:p>
            <w:p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Функционально-стилевая дифференциация текстов (разговорный стиль, художественный стиль, официально-деловой стиль, научный стиль)</w:t>
            </w:r>
          </w:p>
        </w:tc>
        <w:tc>
          <w:tcPr>
            <w:tcW w:w="3827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</w:t>
            </w:r>
          </w:p>
        </w:tc>
      </w:tr>
      <w:tr>
        <w:trPr>
          <w:trHeight w:val="170"/>
        </w:trPr>
        <w:tc>
          <w:tcPr>
            <w:tcW w:w="711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91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23.12</w:t>
            </w:r>
          </w:p>
        </w:tc>
        <w:tc>
          <w:tcPr>
            <w:tcW w:w="1502" w:type="dxa"/>
          </w:tcPr>
          <w:p>
            <w:p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</w:tcPr>
          <w:p>
            <w:p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Языковые особенности разных стилей речи. Жанр текста</w:t>
            </w:r>
          </w:p>
        </w:tc>
        <w:tc>
          <w:tcPr>
            <w:tcW w:w="3827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 материала и анализ</w:t>
            </w:r>
          </w:p>
        </w:tc>
      </w:tr>
      <w:tr>
        <w:trPr>
          <w:trHeight w:val="170"/>
        </w:trPr>
        <w:tc>
          <w:tcPr>
            <w:tcW w:w="711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91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27.01</w:t>
            </w:r>
          </w:p>
        </w:tc>
        <w:tc>
          <w:tcPr>
            <w:tcW w:w="1502" w:type="dxa"/>
          </w:tcPr>
          <w:p>
            <w:p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</w:tcPr>
          <w:p>
            <w:p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Понимание текста с опорой на тип, стиль, жанр, структуру и языковые средства</w:t>
            </w:r>
          </w:p>
        </w:tc>
        <w:tc>
          <w:tcPr>
            <w:tcW w:w="3827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Групповая работа</w:t>
            </w:r>
          </w:p>
        </w:tc>
      </w:tr>
      <w:tr>
        <w:trPr>
          <w:trHeight w:val="170"/>
        </w:trPr>
        <w:tc>
          <w:tcPr>
            <w:tcW w:w="711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291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24.02</w:t>
            </w:r>
          </w:p>
        </w:tc>
        <w:tc>
          <w:tcPr>
            <w:tcW w:w="1502" w:type="dxa"/>
          </w:tcPr>
          <w:p>
            <w:p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</w:tcPr>
          <w:p>
            <w:p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Осознанное чтение текстов с целью удовлетворения интереса, приобретения читательского опыта, освоения и использования информации</w:t>
            </w:r>
          </w:p>
        </w:tc>
        <w:tc>
          <w:tcPr>
            <w:tcW w:w="3827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Чтение </w:t>
            </w:r>
          </w:p>
        </w:tc>
      </w:tr>
      <w:tr>
        <w:trPr>
          <w:trHeight w:val="170"/>
        </w:trPr>
        <w:tc>
          <w:tcPr>
            <w:tcW w:w="711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291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24.03</w:t>
            </w:r>
          </w:p>
        </w:tc>
        <w:tc>
          <w:tcPr>
            <w:tcW w:w="1502" w:type="dxa"/>
          </w:tcPr>
          <w:p>
            <w:p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</w:tcPr>
          <w:p>
            <w:p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Текст, тема текста, ос</w:t>
              <w:softHyphen/>
              <w:t>новная мысль, идея. Авторская позиция</w:t>
            </w:r>
          </w:p>
        </w:tc>
        <w:tc>
          <w:tcPr>
            <w:tcW w:w="3827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Беседа, круглый стол</w:t>
            </w:r>
          </w:p>
        </w:tc>
      </w:tr>
      <w:tr>
        <w:trPr>
          <w:trHeight w:val="169"/>
        </w:trPr>
        <w:tc>
          <w:tcPr>
            <w:tcW w:w="711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291" w:type="dxa"/>
          </w:tcPr>
          <w:p>
            <w:pPr>
              <w:pStyle w:val="15"/>
              <w:snapToGrid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28.04</w:t>
            </w:r>
          </w:p>
        </w:tc>
        <w:tc>
          <w:tcPr>
            <w:tcW w:w="1502" w:type="dxa"/>
          </w:tcPr>
          <w:p>
            <w:p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</w:tcPr>
          <w:p>
            <w:p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Итоги года</w:t>
            </w:r>
          </w:p>
        </w:tc>
        <w:tc>
          <w:tcPr>
            <w:tcW w:w="3827" w:type="dxa"/>
          </w:tcPr>
          <w:p>
            <w:pPr>
              <w:pStyle w:val="15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</w:t>
            </w:r>
          </w:p>
        </w:tc>
      </w:tr>
    </w:tbl>
    <w:p>
      <w:pPr>
        <w:spacing w:line="360" w:lineRule="auto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line="360" w:lineRule="auto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line="360" w:lineRule="auto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line="360" w:lineRule="auto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line="360" w:lineRule="auto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line="360" w:lineRule="auto"/>
        <w:ind w:left="142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Список литературы</w:t>
      </w:r>
    </w:p>
    <w:p>
      <w:pPr>
        <w:spacing w:line="360" w:lineRule="auto"/>
        <w:ind w:left="-284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1. Адамович, К. Основные результаты российских учащихся в международном исследовании читательской, математической и естественнонаучной грамотности PISA‒ 2018 и их интерпретация / К. А. Адамович, А.В. Капуза, А. Б. Захаров, И. Д. Фрумин. - М.: НИУ ВШЭ, 2019. — 28 С.</w:t>
      </w:r>
    </w:p>
    <w:p>
      <w:pPr>
        <w:spacing w:line="360" w:lineRule="auto"/>
        <w:ind w:left="-284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2. Борисова, А. М. Задания на формирование читательской грамотности на уроках математики/ Борисова А. М. - Математика в школе. НГПУ, 2020. - 61–70 С. </w:t>
      </w:r>
    </w:p>
    <w:p>
      <w:pPr>
        <w:spacing w:line="360" w:lineRule="auto"/>
        <w:ind w:left="-284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3. Гомова, В. И. Формирование читательской грамотности с помощью предметов гуманитарного, естественно-научного и математического цикла/ В. И. Гомова//Вестник Саратовского областного института развития образования. – 2017. - №4. – С. 109–115.</w:t>
      </w:r>
    </w:p>
    <w:p>
      <w:pPr>
        <w:spacing w:line="360" w:lineRule="auto"/>
        <w:ind w:left="-284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4. Гостева, Ю.Н. Теория и практика оценивания читательской грамотности как компонента функциональной грамотности/ Ю. Н. Гостева, М. И. Кузнецова, Л. А. Рябинина, Г. А. Сидорова, Т.Ю. Чабан // Отечественная и зарубежная педагогика. - 2019. - № 4. – С.34–57.</w:t>
      </w:r>
    </w:p>
    <w:p>
      <w:pPr>
        <w:spacing w:line="360" w:lineRule="auto"/>
        <w:ind w:left="-284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5. Демидова, М.Ю. Естественно-научный цикл: читательские умения/М. Ю.  Демидова //Народное образование. - 2012. - № 5.- С. 214–220.</w:t>
      </w:r>
    </w:p>
    <w:p>
      <w:pPr>
        <w:spacing w:line="360" w:lineRule="auto"/>
        <w:ind w:left="-284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6. Добрякова, М. С., Фрумин, И. Д. Универсальные компетентности и новая грамотность: от лозунгов к реальности / под ред. М. С. Добряковой, И. Д. Фрумина; при участии К. А. Баранникова, Н. Зиила, Дж. Мосс, И. М. Реморенко, Я. Хаутамяки; Нац. исслед. ун-т «Высшая школа экономики»— М.: Изд. Дом Высшей школы экономики, 2020. — 472 c.</w:t>
      </w:r>
    </w:p>
    <w:p>
      <w:pPr>
        <w:spacing w:line="360" w:lineRule="auto"/>
        <w:ind w:left="-284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7. Канке, В. А. Философия учебника. Монография/ В. А. Канке – М.: Издательский дом «Университетская книга», 2007. -118 с.</w:t>
      </w:r>
    </w:p>
    <w:p>
      <w:pPr>
        <w:spacing w:line="360" w:lineRule="auto"/>
        <w:ind w:left="-284"/>
        <w:jc w:val="both"/>
      </w:pPr>
      <w:r>
        <w:rPr>
          <w:rFonts w:ascii="Times New Roman" w:cs="Times New Roman" w:hAnsi="Times New Roman"/>
          <w:sz w:val="24"/>
          <w:szCs w:val="24"/>
        </w:rPr>
        <w:t>8. Каспржак, А. Г. Новый взгляд на грамотность. По материалам международного исследования PISA-2000/ А.Г. Каспржак, К. Г. Митрофанов, К. Н. Поливанова – М: Логос, 2004. – 292 с.</w:t>
      </w:r>
      <w:r>
        <w:t xml:space="preserve"> </w:t>
      </w:r>
    </w:p>
    <w:p/>
    <w:sectPr>
      <w:footerReference w:type="default" r:id="rId2"/>
      <w:pgSz w:w="16838" w:h="11906" w:orient="landscape"/>
      <w:pgMar w:top="1135" w:right="1134" w:bottom="1701" w:left="1134" w:header="708" w:footer="708" w:gutter="0"/>
      <w:pgNumType w:start="1"/>
      <w:titlePg/>
      <w:docGrid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Droid Sans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Luxi Sans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HONOR black body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DejaVu Sans">
    <w:altName w:val="Times New Roman"/>
    <w:panose1 w:val="00000000000000000000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6"/>
      <w:tabs>
        <w:tab w:val="center" w:pos="4677"/>
        <w:tab w:val="right" w:pos="9355"/>
      </w:tabs>
      <w:jc w:val="right"/>
    </w:pPr>
    <w:r>
      <w:fldChar w:fldCharType="begin"/>
    </w:r>
    <w:r>
      <w:instrText>PAGE   \* MERGEFORMAT</w:instrText>
    </w:r>
    <w:r>
      <w:fldChar w:fldCharType="separate"/>
    </w:r>
    <w:r>
      <w:t>14</w:t>
    </w:r>
    <w:r>
      <w:fldChar w:fldCharType="end"/>
    </w:r>
  </w:p>
  <w:p>
    <w:pPr>
      <w:pStyle w:val="16"/>
      <w:tabs>
        <w:tab w:val="center" w:pos="4677"/>
        <w:tab w:val="right" w:pos="9355"/>
      </w:tabs>
    </w:pP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multiLevelType w:val="multilevel"/>
    <w:tmpl w:val="303CDDE6"/>
    <w:lvl w:ilvl="0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multiLevelType w:val="multilevel"/>
    <w:tmpl w:val="FA843E72"/>
    <w:lvl w:ilvl="0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multiLevelType w:val="multilevel"/>
    <w:tmpl w:val="606A19A2"/>
    <w:lvl w:ilvl="0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multiLevelType w:val="multilevel"/>
    <w:tmpl w:val="10F6F6AE"/>
    <w:lvl w:ilvl="0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71"/>
  <w:bordersDoNotSurroundHeader/>
  <w:bordersDoNotSurroundFooter/>
  <w:defaultTabStop w:val="708"/>
  <w:drawingGridHorizontalSpacing w:val="110"/>
  <w:drawingGridVerticalSpacing w:val="156"/>
  <w:displayHorizontalDrawingGridEvery w:val="0"/>
  <w:displayVerticalDrawingGridEvery w:val="1"/>
  <w:compat>
    <w:spaceForUL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spacing w:after="160" w:line="259" w:lineRule="auto"/>
    </w:pPr>
    <w:rPr>
      <w:rFonts w:ascii="Droid Sans" w:eastAsia="Droid Sans" w:cs="Arial"/>
      <w:sz w:val="22"/>
      <w:szCs w:val="22"/>
      <w:lang w:val="ru-RU" w:eastAsia="en-US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HONOR black body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customStyle="1" w:styleId="15">
    <w:name w:val="Содержимое таблицы"/>
    <w:basedOn w:val="0"/>
    <w:pPr>
      <w:widowControl w:val="0"/>
      <w:suppressLineNumbers/>
      <w:suppressAutoHyphens/>
      <w:spacing w:after="0" w:line="240" w:lineRule="auto"/>
    </w:pPr>
    <w:rPr>
      <w:rFonts w:ascii="DejaVu Sans" w:eastAsia="DejaVu Sans" w:cs="Times New Roman" w:hAnsi="DejaVu Sans"/>
      <w:kern w:val="2"/>
      <w:sz w:val="24"/>
      <w:szCs w:val="24"/>
    </w:rPr>
  </w:style>
  <w:style w:type="paragraph" w:styleId="16">
    <w:name w:val="footer"/>
    <w:basedOn w:val="0"/>
    <w:pPr>
      <w:tabs>
        <w:tab w:val="center" w:pos="4677"/>
        <w:tab w:val="right" w:pos="9355"/>
      </w:tabs>
      <w:spacing w:after="0" w:line="240" w:lineRule="auto"/>
    </w:pPr>
  </w:style>
  <w:style w:type="paragraph" w:styleId="17">
    <w:name w:val="Balloon Text"/>
    <w:basedOn w:val="0"/>
    <w:pPr>
      <w:spacing w:after="0" w:line="240" w:lineRule="auto"/>
    </w:pPr>
    <w:rPr>
      <w:rFonts w:ascii="Segoe UI" w:cs="Segoe UI" w:hAnsi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image" Target="media/2.jpeg"/><Relationship Id="rId4" Type="http://schemas.openxmlformats.org/officeDocument/2006/relationships/styles" Target="styles.xml"/><Relationship Id="rId5" Type="http://schemas.openxmlformats.org/officeDocument/2006/relationships/numbering" Target="numbering.xml"/><Relationship Id="rId6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25</TotalTime>
  <Application>Honor_Office</Application>
  <Pages>18</Pages>
  <Words>2659</Words>
  <Characters>19350</Characters>
  <Lines>394</Lines>
  <Paragraphs>226</Paragraphs>
  <CharactersWithSpaces>21950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админ</dc:creator>
  <cp:lastModifiedBy>HONOR Pad 9</cp:lastModifiedBy>
  <cp:revision>9</cp:revision>
  <cp:lastPrinted>2025-09-04T07:41:00Z</cp:lastPrinted>
  <dcterms:created xsi:type="dcterms:W3CDTF">2025-08-29T14:32:00Z</dcterms:created>
  <dcterms:modified xsi:type="dcterms:W3CDTF">2026-09-15T09:22:57Z</dcterms:modified>
</cp:coreProperties>
</file>