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33AC9">
        <w:rPr>
          <w:rFonts w:ascii="Times New Roman" w:hAnsi="Times New Roman" w:cs="Times New Roman"/>
          <w:b/>
          <w:sz w:val="28"/>
          <w:szCs w:val="28"/>
        </w:rPr>
        <w:t>14.11.2024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24B6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 </w:t>
      </w:r>
      <w:r w:rsidR="00533AC9">
        <w:rPr>
          <w:rFonts w:ascii="Times New Roman" w:hAnsi="Times New Roman" w:cs="Times New Roman"/>
          <w:b/>
          <w:sz w:val="28"/>
          <w:szCs w:val="28"/>
        </w:rPr>
        <w:t>68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  <w:r w:rsidRPr="00847377">
        <w:rPr>
          <w:b/>
          <w:sz w:val="27"/>
          <w:szCs w:val="27"/>
        </w:rPr>
        <w:t>Об утверждении Прогноза социально-экономического развития</w:t>
      </w: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  <w:r w:rsidRPr="00847377">
        <w:rPr>
          <w:b/>
          <w:sz w:val="27"/>
          <w:szCs w:val="27"/>
        </w:rPr>
        <w:t xml:space="preserve"> Незамаевского сельского поселения Павловского района </w:t>
      </w: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  <w:r w:rsidRPr="00847377">
        <w:rPr>
          <w:b/>
          <w:sz w:val="27"/>
          <w:szCs w:val="27"/>
        </w:rPr>
        <w:t xml:space="preserve">на </w:t>
      </w:r>
      <w:r w:rsidR="00124B6B">
        <w:rPr>
          <w:b/>
          <w:sz w:val="27"/>
          <w:szCs w:val="27"/>
        </w:rPr>
        <w:t>202</w:t>
      </w:r>
      <w:r w:rsidR="00593971">
        <w:rPr>
          <w:b/>
          <w:sz w:val="27"/>
          <w:szCs w:val="27"/>
        </w:rPr>
        <w:t>5</w:t>
      </w:r>
      <w:r w:rsidRPr="00847377">
        <w:rPr>
          <w:b/>
          <w:sz w:val="27"/>
          <w:szCs w:val="27"/>
        </w:rPr>
        <w:t xml:space="preserve"> год и плановый период 202</w:t>
      </w:r>
      <w:r w:rsidR="00593971">
        <w:rPr>
          <w:b/>
          <w:sz w:val="27"/>
          <w:szCs w:val="27"/>
        </w:rPr>
        <w:t>6</w:t>
      </w:r>
      <w:r w:rsidRPr="00847377">
        <w:rPr>
          <w:b/>
          <w:sz w:val="27"/>
          <w:szCs w:val="27"/>
        </w:rPr>
        <w:t xml:space="preserve"> и 202</w:t>
      </w:r>
      <w:r w:rsidR="00593971">
        <w:rPr>
          <w:b/>
          <w:sz w:val="27"/>
          <w:szCs w:val="27"/>
        </w:rPr>
        <w:t>7</w:t>
      </w:r>
      <w:r w:rsidRPr="00847377">
        <w:rPr>
          <w:b/>
          <w:sz w:val="27"/>
          <w:szCs w:val="27"/>
        </w:rPr>
        <w:t xml:space="preserve"> годов</w:t>
      </w: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</w:p>
    <w:p w:rsidR="009B12C9" w:rsidRPr="00847377" w:rsidRDefault="009B12C9" w:rsidP="009B12C9">
      <w:pPr>
        <w:spacing w:line="228" w:lineRule="auto"/>
        <w:jc w:val="both"/>
        <w:rPr>
          <w:bCs/>
          <w:sz w:val="27"/>
          <w:szCs w:val="27"/>
        </w:rPr>
      </w:pPr>
      <w:r w:rsidRPr="00847377">
        <w:rPr>
          <w:rStyle w:val="apple-converted-space"/>
          <w:color w:val="666666"/>
          <w:sz w:val="27"/>
          <w:szCs w:val="27"/>
          <w:shd w:val="clear" w:color="auto" w:fill="FFFFFF"/>
        </w:rPr>
        <w:t> </w:t>
      </w:r>
      <w:r w:rsidRPr="00847377">
        <w:rPr>
          <w:rStyle w:val="apple-converted-space"/>
          <w:color w:val="666666"/>
          <w:sz w:val="27"/>
          <w:szCs w:val="27"/>
          <w:shd w:val="clear" w:color="auto" w:fill="FFFFFF"/>
        </w:rPr>
        <w:tab/>
      </w:r>
      <w:r w:rsidR="00847377" w:rsidRPr="00847377">
        <w:rPr>
          <w:rStyle w:val="apple-converted-space"/>
          <w:color w:val="666666"/>
          <w:sz w:val="27"/>
          <w:szCs w:val="27"/>
          <w:shd w:val="clear" w:color="auto" w:fill="FFFFFF"/>
        </w:rPr>
        <w:t xml:space="preserve">  </w:t>
      </w:r>
      <w:r w:rsidRPr="00847377">
        <w:rPr>
          <w:sz w:val="27"/>
          <w:szCs w:val="27"/>
          <w:lang w:eastAsia="ar-SA"/>
        </w:rPr>
        <w:t xml:space="preserve">В соответствии со статьей 6 и частью 5 статьи 11 Федерального закона                  от 28 июня 2014 года № 172-ФЗ «О стратегическом планировании в Российской Федерации», </w:t>
      </w:r>
      <w:r w:rsidRPr="00847377">
        <w:rPr>
          <w:sz w:val="27"/>
          <w:szCs w:val="27"/>
        </w:rPr>
        <w:t>Закона Краснодарского края от 6 ноября 2015 года № 3267-КЗ                       «О стратегическом планировании и индикативных планах социально-экономического развития в Краснодарском крае»,</w:t>
      </w:r>
      <w:r w:rsidRPr="00847377">
        <w:rPr>
          <w:b/>
          <w:sz w:val="27"/>
          <w:szCs w:val="27"/>
        </w:rPr>
        <w:t xml:space="preserve"> </w:t>
      </w:r>
      <w:r w:rsidRPr="00847377">
        <w:rPr>
          <w:sz w:val="27"/>
          <w:szCs w:val="27"/>
          <w:lang w:eastAsia="ar-SA"/>
        </w:rPr>
        <w:t>постановлением главы администрации (губернатора) Краснодарского края от 23 июля 2015 года № 699                              «О порядке разработки и корректировки, осуществления мониторинга                                и контроля реализации прогнозов социально-экономического развития Краснодарского края на долгосрочный и среднесрочный периоды»,</w:t>
      </w:r>
      <w:r w:rsidRPr="00847377">
        <w:rPr>
          <w:sz w:val="27"/>
          <w:szCs w:val="27"/>
          <w:shd w:val="clear" w:color="auto" w:fill="FFFFFF"/>
        </w:rPr>
        <w:t xml:space="preserve">  постановлением администрации Незамаевского сельского поселения Павловского района </w:t>
      </w:r>
      <w:r w:rsidRPr="00847377">
        <w:rPr>
          <w:rStyle w:val="apple-converted-space"/>
          <w:sz w:val="27"/>
          <w:szCs w:val="27"/>
          <w:shd w:val="clear" w:color="auto" w:fill="FFFFFF"/>
        </w:rPr>
        <w:t> </w:t>
      </w:r>
      <w:r w:rsidRPr="00847377">
        <w:rPr>
          <w:sz w:val="27"/>
          <w:szCs w:val="27"/>
          <w:shd w:val="clear" w:color="auto" w:fill="FFFFFF"/>
        </w:rPr>
        <w:t>от 11октября 2018   года  № 98 «Об  утверждении Порядка разработки и корректировки, осуществления мониторинга и контроля реализации прогнозов социально-экономического развития Незамаевского сельского поселения Павловского района на долгосрочный и среднесрочный периоды»</w:t>
      </w:r>
      <w:r w:rsidRPr="00847377">
        <w:rPr>
          <w:sz w:val="27"/>
          <w:szCs w:val="27"/>
          <w:lang w:eastAsia="ar-SA"/>
        </w:rPr>
        <w:t xml:space="preserve">, </w:t>
      </w:r>
      <w:r w:rsidR="00847377">
        <w:rPr>
          <w:sz w:val="27"/>
          <w:szCs w:val="27"/>
          <w:lang w:eastAsia="ar-SA"/>
        </w:rPr>
        <w:t xml:space="preserve">                          </w:t>
      </w:r>
      <w:r w:rsidRPr="00847377">
        <w:rPr>
          <w:sz w:val="27"/>
          <w:szCs w:val="27"/>
        </w:rPr>
        <w:t>п  о  с  т  а  н  о  в  л  я  ю:</w:t>
      </w:r>
    </w:p>
    <w:p w:rsidR="009B12C9" w:rsidRPr="00847377" w:rsidRDefault="009B12C9" w:rsidP="009B12C9">
      <w:pPr>
        <w:pStyle w:val="a4"/>
        <w:rPr>
          <w:sz w:val="27"/>
          <w:szCs w:val="27"/>
        </w:rPr>
      </w:pPr>
      <w:r w:rsidRPr="00847377">
        <w:rPr>
          <w:sz w:val="27"/>
          <w:szCs w:val="27"/>
        </w:rPr>
        <w:tab/>
        <w:t xml:space="preserve">1. Утвердить Прогноз социально-экономического развития Незамаевского сельского поселения Павловского района на </w:t>
      </w:r>
      <w:r w:rsidR="00124B6B">
        <w:rPr>
          <w:sz w:val="27"/>
          <w:szCs w:val="27"/>
        </w:rPr>
        <w:t>202</w:t>
      </w:r>
      <w:r w:rsidR="00593971">
        <w:rPr>
          <w:sz w:val="27"/>
          <w:szCs w:val="27"/>
        </w:rPr>
        <w:t>5</w:t>
      </w:r>
      <w:r w:rsidRPr="00847377">
        <w:rPr>
          <w:sz w:val="27"/>
          <w:szCs w:val="27"/>
        </w:rPr>
        <w:t xml:space="preserve"> год и плановый период 202</w:t>
      </w:r>
      <w:r w:rsidR="00593971">
        <w:rPr>
          <w:sz w:val="27"/>
          <w:szCs w:val="27"/>
        </w:rPr>
        <w:t>6</w:t>
      </w:r>
      <w:r w:rsidRPr="00847377">
        <w:rPr>
          <w:sz w:val="27"/>
          <w:szCs w:val="27"/>
        </w:rPr>
        <w:t xml:space="preserve"> и 202</w:t>
      </w:r>
      <w:r w:rsidR="00593971">
        <w:rPr>
          <w:sz w:val="27"/>
          <w:szCs w:val="27"/>
        </w:rPr>
        <w:t>7</w:t>
      </w:r>
      <w:r w:rsidRPr="00847377">
        <w:rPr>
          <w:sz w:val="27"/>
          <w:szCs w:val="27"/>
        </w:rPr>
        <w:t xml:space="preserve"> годов (прилагается).</w:t>
      </w:r>
    </w:p>
    <w:p w:rsidR="00847377" w:rsidRPr="00847377" w:rsidRDefault="00847377" w:rsidP="00847377">
      <w:pPr>
        <w:jc w:val="both"/>
        <w:rPr>
          <w:sz w:val="27"/>
          <w:szCs w:val="27"/>
        </w:rPr>
      </w:pPr>
      <w:r w:rsidRPr="00847377">
        <w:rPr>
          <w:sz w:val="27"/>
          <w:szCs w:val="27"/>
        </w:rPr>
        <w:t xml:space="preserve">          2. </w:t>
      </w:r>
      <w:proofErr w:type="gramStart"/>
      <w:r w:rsidRPr="00847377">
        <w:rPr>
          <w:sz w:val="27"/>
          <w:szCs w:val="27"/>
        </w:rPr>
        <w:t>Разместить</w:t>
      </w:r>
      <w:proofErr w:type="gramEnd"/>
      <w:r w:rsidRPr="00847377">
        <w:rPr>
          <w:sz w:val="27"/>
          <w:szCs w:val="27"/>
        </w:rPr>
        <w:t xml:space="preserve">  настоящее постановление на официальном сайте </w:t>
      </w:r>
      <w:proofErr w:type="spellStart"/>
      <w:r w:rsidRPr="00847377">
        <w:rPr>
          <w:sz w:val="27"/>
          <w:szCs w:val="27"/>
        </w:rPr>
        <w:t>Незмаевского</w:t>
      </w:r>
      <w:proofErr w:type="spellEnd"/>
      <w:r w:rsidRPr="00847377">
        <w:rPr>
          <w:sz w:val="27"/>
          <w:szCs w:val="27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847377" w:rsidRPr="00847377" w:rsidRDefault="00847377" w:rsidP="00847377">
      <w:pPr>
        <w:jc w:val="both"/>
        <w:rPr>
          <w:sz w:val="27"/>
          <w:szCs w:val="27"/>
        </w:rPr>
      </w:pPr>
      <w:r w:rsidRPr="00847377">
        <w:rPr>
          <w:sz w:val="27"/>
          <w:szCs w:val="27"/>
        </w:rPr>
        <w:t xml:space="preserve">         3. Контроль за выполнением настоящего постановления оставляю за собой.</w:t>
      </w:r>
    </w:p>
    <w:p w:rsidR="00847377" w:rsidRPr="00847377" w:rsidRDefault="00847377" w:rsidP="00847377">
      <w:pPr>
        <w:jc w:val="both"/>
        <w:rPr>
          <w:sz w:val="27"/>
          <w:szCs w:val="27"/>
        </w:rPr>
      </w:pPr>
      <w:r w:rsidRPr="00847377">
        <w:rPr>
          <w:sz w:val="27"/>
          <w:szCs w:val="27"/>
        </w:rPr>
        <w:t xml:space="preserve">         4. Постановление вступает в силу со  дня его официального обнародования.</w:t>
      </w:r>
    </w:p>
    <w:p w:rsidR="00F36A0F" w:rsidRPr="00847377" w:rsidRDefault="00F36A0F" w:rsidP="008473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36A0F" w:rsidRPr="00847377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847377" w:rsidRPr="00847377" w:rsidRDefault="00847377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F36A0F" w:rsidRPr="00847377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847377">
        <w:rPr>
          <w:rFonts w:ascii="Times New Roman" w:hAnsi="Times New Roman" w:cs="Times New Roman"/>
          <w:sz w:val="27"/>
          <w:szCs w:val="27"/>
        </w:rPr>
        <w:t xml:space="preserve">Глава Незамаевского сельского </w:t>
      </w: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7377">
        <w:rPr>
          <w:rFonts w:ascii="Times New Roman" w:hAnsi="Times New Roman" w:cs="Times New Roman"/>
          <w:sz w:val="27"/>
          <w:szCs w:val="27"/>
        </w:rPr>
        <w:t xml:space="preserve">поселения   Павловского района                                                         С.А. Левченко </w:t>
      </w:r>
    </w:p>
    <w:p w:rsidR="00A7331F" w:rsidRDefault="00A7331F" w:rsidP="008E1E5B">
      <w:pPr>
        <w:rPr>
          <w:sz w:val="28"/>
          <w:szCs w:val="28"/>
        </w:rPr>
      </w:pPr>
    </w:p>
    <w:p w:rsidR="00533AC9" w:rsidRDefault="00533AC9" w:rsidP="008E1E5B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533AC9" w:rsidRPr="00533AC9" w:rsidTr="00DD5F20">
        <w:tc>
          <w:tcPr>
            <w:tcW w:w="5353" w:type="dxa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36" w:type="dxa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3AC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    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3AC9">
              <w:rPr>
                <w:rFonts w:ascii="Times New Roman CYR" w:hAnsi="Times New Roman CYR" w:cs="Times New Roman CYR"/>
                <w:sz w:val="28"/>
                <w:szCs w:val="28"/>
              </w:rPr>
              <w:t>к постановлению администрации Незамаевского сельского поселения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3AC9"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3AC9">
              <w:rPr>
                <w:rFonts w:ascii="Times New Roman CYR" w:hAnsi="Times New Roman CYR" w:cs="Times New Roman CYR"/>
                <w:sz w:val="28"/>
                <w:szCs w:val="28"/>
              </w:rPr>
              <w:t>от14.11.2024 г.  № 68</w:t>
            </w:r>
          </w:p>
        </w:tc>
      </w:tr>
    </w:tbl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Прогноз </w:t>
      </w:r>
      <w:proofErr w:type="gramStart"/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t>социально-экономического</w:t>
      </w:r>
      <w:proofErr w:type="gramEnd"/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t>развития Незамаевского сельского поселения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t>Павловского района на 2025-2027 годы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1459"/>
        <w:gridCol w:w="996"/>
        <w:gridCol w:w="996"/>
        <w:gridCol w:w="1102"/>
        <w:gridCol w:w="1102"/>
        <w:gridCol w:w="1102"/>
      </w:tblGrid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Отчет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Оценка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Прогноз 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Прогноз 2026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Прогноз 2027 г.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Численность постоянного населения в среднем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2,392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2,466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2,49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Среднедушевой денежный доход на одного жителя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 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8,7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103,4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 xml:space="preserve">Численность </w:t>
            </w:r>
            <w:proofErr w:type="gramStart"/>
            <w:r w:rsidRPr="00533AC9">
              <w:rPr>
                <w:rFonts w:ascii="Times New Roman CYR" w:hAnsi="Times New Roman CYR" w:cs="Times New Roman CYR"/>
                <w:bCs/>
              </w:rPr>
              <w:t>занятых</w:t>
            </w:r>
            <w:proofErr w:type="gramEnd"/>
            <w:r w:rsidRPr="00533AC9">
              <w:rPr>
                <w:rFonts w:ascii="Times New Roman CYR" w:hAnsi="Times New Roman CYR" w:cs="Times New Roman CYR"/>
                <w:bCs/>
              </w:rPr>
              <w:t xml:space="preserve">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0,798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Номинальная начисленная среднемесячная 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 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16,9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108,3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33AC9">
              <w:rPr>
                <w:rFonts w:ascii="Times New Roman CYR" w:hAnsi="Times New Roman CYR" w:cs="Times New Roman CYR"/>
                <w:bCs/>
              </w:rPr>
              <w:t>Численность занятых в личных подсобных хозяйствах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33AC9">
              <w:rPr>
                <w:rFonts w:ascii="Times New Roman CYR" w:hAnsi="Times New Roman CYR" w:cs="Times New Roman CYR"/>
                <w:bCs/>
              </w:rPr>
              <w:t>Среднемесячные доходы занятых в личных подсобных хозяйствах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 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13,6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102,4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Численность зарегистрированных безработных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33AC9">
              <w:rPr>
                <w:rFonts w:ascii="Times New Roman CYR" w:hAnsi="Times New Roman CYR" w:cs="Times New Roman CYR"/>
                <w:bCs/>
              </w:rPr>
              <w:t xml:space="preserve">Уровень регистрируемой безработицы, в % к численности </w:t>
            </w:r>
            <w:r w:rsidRPr="00533AC9">
              <w:rPr>
                <w:rFonts w:ascii="Times New Roman CYR" w:hAnsi="Times New Roman CYR" w:cs="Times New Roman CYR"/>
                <w:bCs/>
              </w:rPr>
              <w:lastRenderedPageBreak/>
              <w:t>трудоспособного населения в трудоспособном возрасте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Число хозяйствующих субъектов (предприятий)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92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3AC9">
              <w:rPr>
                <w:sz w:val="26"/>
                <w:szCs w:val="26"/>
              </w:rPr>
              <w:t>83,6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108,3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Объем продукции сельского хозяйства всех категорий 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401,56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435,54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471,69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479,71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488,34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101,8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Общая площадь земель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21271,9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21271,9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21271,9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21271,9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21271,9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 площадь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 площадь земель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1496,9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Общая протяженность всех улиц, проездов, набережных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километров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57,6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освещенных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километров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24,2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с усовершенствованным покрытием (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цементобетонное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и асфальтобетонное)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километров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Площадь посевных земель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18850,0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 xml:space="preserve">% к </w:t>
            </w:r>
            <w:proofErr w:type="spellStart"/>
            <w:r w:rsidRPr="00533AC9">
              <w:rPr>
                <w:rFonts w:ascii="Times New Roman CYR" w:hAnsi="Times New Roman CYR" w:cs="Times New Roman CYR"/>
              </w:rPr>
              <w:t>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 по основным видам культур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зерновые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8493,0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8493,0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8493,0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8493,0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8493,0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подсолнечник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826,5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кукуруза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гектаров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5751,8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5751,8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5751,8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5751,8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5751,8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Количество торговых точек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магазинов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киосков (павильонов)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автолавок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 xml:space="preserve">Количество пунктов общественного питания </w:t>
            </w:r>
            <w:r w:rsidRPr="00533AC9">
              <w:rPr>
                <w:rFonts w:ascii="Times New Roman CYR" w:hAnsi="Times New Roman CYR" w:cs="Times New Roman CYR"/>
              </w:rPr>
              <w:t>(ресторанов, столовых, кафе, кафетериев)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Количество учреждений культуры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домов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музеев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-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 xml:space="preserve">Число мест в </w:t>
            </w:r>
            <w:proofErr w:type="spellStart"/>
            <w:proofErr w:type="gramStart"/>
            <w:r w:rsidRPr="00533AC9">
              <w:rPr>
                <w:rFonts w:ascii="Times New Roman CYR" w:hAnsi="Times New Roman CYR" w:cs="Times New Roman CYR"/>
                <w:bCs/>
              </w:rPr>
              <w:t>дош-кольных</w:t>
            </w:r>
            <w:proofErr w:type="spellEnd"/>
            <w:proofErr w:type="gramEnd"/>
            <w:r w:rsidRPr="00533AC9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33AC9">
              <w:rPr>
                <w:rFonts w:ascii="Times New Roman CYR" w:hAnsi="Times New Roman CYR" w:cs="Times New Roman CYR"/>
                <w:bCs/>
              </w:rPr>
              <w:t>образова</w:t>
            </w:r>
            <w:proofErr w:type="spellEnd"/>
            <w:r w:rsidRPr="00533AC9">
              <w:rPr>
                <w:rFonts w:ascii="Times New Roman CYR" w:hAnsi="Times New Roman CYR" w:cs="Times New Roman CYR"/>
                <w:bCs/>
              </w:rPr>
              <w:t xml:space="preserve">-тельных </w:t>
            </w:r>
            <w:proofErr w:type="spellStart"/>
            <w:r w:rsidRPr="00533AC9">
              <w:rPr>
                <w:rFonts w:ascii="Times New Roman CYR" w:hAnsi="Times New Roman CYR" w:cs="Times New Roman CYR"/>
                <w:bCs/>
              </w:rPr>
              <w:t>учрежде-ниях</w:t>
            </w:r>
            <w:proofErr w:type="spellEnd"/>
            <w:r w:rsidRPr="00533AC9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533AC9">
              <w:rPr>
                <w:rFonts w:ascii="Times New Roman CYR" w:hAnsi="Times New Roman CYR" w:cs="Times New Roman CYR"/>
              </w:rPr>
              <w:t>(яслях, детских садах)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120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85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Число мест в общеобразовательных учреждениях (школах)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400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Численность учащихся, посещающих общеобразовательные учреждения (школы)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184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Количество пунктов первичного медицинского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Жилищный фонд на начало периода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 кв.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60,2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в том числе жилищный фонд, находящийся в собственности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 кв.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60,2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101,0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  <w:bCs/>
              </w:rPr>
              <w:t>Поступление налоговых и неналоговых доходов в 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тыс. 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14388,5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15130,8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15498,8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16066,1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18214,7</w:t>
            </w:r>
          </w:p>
        </w:tc>
      </w:tr>
      <w:tr w:rsidR="00533AC9" w:rsidRPr="00533AC9" w:rsidTr="00DD5F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% к пред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533AC9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533AC9">
              <w:rPr>
                <w:rFonts w:ascii="Times New Roman CYR" w:hAnsi="Times New Roman CYR" w:cs="Times New Roman CYR"/>
              </w:rPr>
              <w:t>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33AC9">
              <w:rPr>
                <w:rFonts w:ascii="Times New Roman CYR" w:hAnsi="Times New Roman CYR" w:cs="Times New Roman CYR"/>
              </w:rPr>
              <w:t>113,4</w:t>
            </w:r>
          </w:p>
        </w:tc>
      </w:tr>
    </w:tbl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Глава Незамаевского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поселения Павловского района</w:t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  <w:t xml:space="preserve">    С.А. Левченко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533AC9" w:rsidRPr="00533AC9" w:rsidTr="00DD5F20">
        <w:trPr>
          <w:trHeight w:val="1833"/>
        </w:trPr>
        <w:tc>
          <w:tcPr>
            <w:tcW w:w="5070" w:type="dxa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77" w:type="dxa"/>
          </w:tcPr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3AC9">
              <w:rPr>
                <w:rFonts w:ascii="Times New Roman CYR" w:hAnsi="Times New Roman CYR" w:cs="Times New Roman CYR"/>
                <w:sz w:val="28"/>
                <w:szCs w:val="28"/>
              </w:rPr>
              <w:t>ПРИЛОЖЕНИЕ</w:t>
            </w:r>
          </w:p>
          <w:p w:rsidR="00533AC9" w:rsidRPr="00533AC9" w:rsidRDefault="00533AC9" w:rsidP="00533AC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3AC9">
              <w:rPr>
                <w:rFonts w:ascii="Times New Roman CYR" w:hAnsi="Times New Roman CYR" w:cs="Times New Roman CYR"/>
                <w:sz w:val="28"/>
                <w:szCs w:val="28"/>
              </w:rPr>
              <w:t>к Прогнозу социально-экономического развития Незамаевского сельского поселения Павловского района на 2025-2027 годы</w:t>
            </w:r>
          </w:p>
        </w:tc>
      </w:tr>
    </w:tbl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t>ПОЯСНИТЕЛЬНАЯ ЗАПИСКА</w:t>
      </w: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  <w:t>К ПРОГНОЗУ СОЦИАЛЬНО-ЭКОНОМИЧЕСКОГО</w:t>
      </w: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  <w:t>РАЗВИТИЯ НЕЗАМАЕВСКОГО СЕЛЬСКОГО ПОСЕЛЕНИЯ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533AC9">
        <w:rPr>
          <w:rFonts w:ascii="Times New Roman CYR" w:hAnsi="Times New Roman CYR" w:cs="Times New Roman CYR"/>
          <w:bCs/>
          <w:color w:val="26282F"/>
          <w:sz w:val="28"/>
          <w:szCs w:val="28"/>
        </w:rPr>
        <w:t>ПАВЛОВСКОГО РАЙОНА НА 2025 - 2027 ГОДЫ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Прогноз социально-экономического развития Незамаевского сельского поселения Павловского района на 2025-2027 годы подготовлен в соответствии с требованиями Бюджетного кодекса Российской Федерации.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Основной целью социально-экономического развития Незамаевского сельского поселения Павловского района является улучшение качества жизни населения.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При составлении прогноза социально-экономического развития Незамаевского сельского поселения Павловского района использованы: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- данные государственной и ведомственной статистики;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- учетные данные администрации Незамаевского сельского поселения Павловского района;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- другая информация, предоставляемая учреждениями и организациями, действующими на территории Незамаевского сельского поселения Павловского района.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Демографическую ситуацию в поселении считать благополучной нельзя по причине превышения коэффициента смертности над коэффициентом рождаемости. За счёт миграционного прироста компенсируются потери населения, вызванные превышением числа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умерших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над числом родившихся. По оценочным данным численность постоянного населения в 2025 году составит 2,49 тысяч человек. Демографическая ситуация будет характеризоваться незначительным снижением численности населения.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Среднедушевой денежный доход на одного жителя в поселении очень низкий, что обуславливает низкое качество жизни.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Прогнозируемый рост показателя планируется за счёт увеличения среднемесячного дохода занятых в личных подсобных хозяйствах, так как большая часть населения относится к этой категории.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Так по прогнозу среднедушевой денежный доход на одного жителя в 2025 году составит 8,1 тысячи рублей, что составляет 106,1 %  к оценке 2024  года и достигнет к 2027 году 8,7 тысяч рублей, среднемесячные доходы занятых в личных подсобных хозяйствах в отношении прогнозируется в 2025 году в сумме 12,9 тысяч рублей, что составляет 102,6 % к оценке 2024 год и достигнут к 2027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году 13,6 тысяч рублей. 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Предполагается, что численность экономически активного населения и численность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занятых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в экономике практически не изменится, а уровень регистрируемой безработицы в 2025 году изменится в лучшую сторону, вследствие чего можно сделать вывод о том, что население вынуждено искать работу за пределами поселения. Численность людей занятых в личных подсобных хозяйствах в 2025 году предположительно не изменится, что объясняется нехваткой рабочих мест на предприятиях поселения и недостаточного денежного дохода. Номинальная  среднемесячная заработная плата, начисленная на предприятиях, расположенных на территории поселении, по оперативным данным в 2024 году выросла в сравнении с 2023 годом на 105,1 %, в 2025 году прогнозируется в сумме  14,2 тыс. рублей   и достигнет к 2027 году 16,9 тыс. рублей.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Фонд оплаты труда в 2025 году увеличится по отношению к оценке 2024 года на 113,2 %, что в денежном выражении составляет 87,7 млн. рублей. К 2027 году планируется  снижение фонда оплаты труда  до 83,6 млн. рублей за счет снижения численности работающих.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33AC9">
        <w:rPr>
          <w:rFonts w:ascii="Times New Roman CYR" w:hAnsi="Times New Roman CYR" w:cs="Times New Roman CYR"/>
          <w:sz w:val="28"/>
          <w:szCs w:val="28"/>
        </w:rPr>
        <w:t>Незамаевское</w:t>
      </w:r>
      <w:proofErr w:type="spellEnd"/>
      <w:r w:rsidRPr="00533AC9">
        <w:rPr>
          <w:rFonts w:ascii="Times New Roman CYR" w:hAnsi="Times New Roman CYR" w:cs="Times New Roman CYR"/>
          <w:sz w:val="28"/>
          <w:szCs w:val="28"/>
        </w:rPr>
        <w:t xml:space="preserve"> сельское поселение Павловского района занимает территорию общей площадью 21279,9 га. Площадь земель сельскохозяйственного назначения составляет 18850,0 га, земель населенных пунктов – 1496,9. Данные показатели являются стабильными: увеличение или уменьшение площади земель поселения на 2025-2027 годы не планируется.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В состав Незамаевского сельского поселения Павловского района входят один населенный пункт – станица Незамаевская.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На основании информационных карт улично-дорожной сети общая протяженность всех улиц составляет 57,6 км, в том числе протяженность освещенных улиц составляет 24,2 км. Общая протяженность улиц с усовершенствованным покрытием составляет 19,1 км (33,2% от общей протяженности всех улиц). 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Число хозяйствующих субъектов (предприятий) на территории Незамаевского сельского поселения Павловского района действует  92 предприятие,  их них 77 предприятий, занимающиеся сельскохозяйственным производством, 1 предприятия, занимающиеся переработкой мяса. 14 торговлей. Структура социально-экономической сферы поселения в основном состоит из субъектов сельскохозяйственного производства. В последние годы обостряется дефицит качественных трудовых ресурсов у сельскохозяйственных </w:t>
      </w:r>
      <w:r w:rsidRPr="00533AC9">
        <w:rPr>
          <w:rFonts w:ascii="Times New Roman CYR" w:hAnsi="Times New Roman CYR" w:cs="Times New Roman CYR"/>
          <w:sz w:val="28"/>
          <w:szCs w:val="28"/>
        </w:rPr>
        <w:lastRenderedPageBreak/>
        <w:t>предприятий поселения, что вызвано низкой оплатой труда в сельском хозяйстве, миграцией молодежи в поисках более высокого заработка, старением сельского населения.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Общая посевная площадь сельскохозяйственных культур в сельскохозяйственных предприятиях поселения под урожай текущего года составила 18850 гектаров.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Посевные площади под зерновыми культурами составляют 18850 гектаров.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На территории Незамаевского сельского поселения Павловского района находится 13 торговых точек индивидуальных предпринимателей, которые способствуют повышению уровня обеспечения населения товарами первой необходимости.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На территории Незамаевского сельского поселения Павловского района работает кафе.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На территории Незамаевского сельского поселения Павловского района действуют Дома культуры и  библиотека. 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На территории Незамаевского сельского поселения Павловского района действует МКДОУ детский сад № 10. На 01.01.2024 года число мест в дошкольных образовательных учреждениях составило 120.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Численность детей, посещающих учреждения дошкольного образования в 2023 году составляла 89 чел., а в 2024 году 86 чел., что связано со снижением рождаемости. По прогнозу на 2025-2027годы численность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детей, посещающих учреждение дошкольного образования не изменится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и составит  85 человека. 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На территории Незамаевского сельского поселения Павловского района действуют 1 общеобразовательная школа № 14. Число мест в общеобразовательных учреждениях - 400.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В 2024 году численность 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учащихся, посещающих общеобразовательные учреждения составила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184 человек, что составляет 97,8 % к уровню 2023 года. По результатам предварительного комплектования в 2025-2027 годах численность обучающихся в образовательных учреждениях поселения составит 184 человек.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На территории Незамаевского сельского поселения Павловского района медицинское обслуживание населения представлено врачебной амбулаторией, где ведут прием терапевт, стоматолог.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Жилищный фонд поселения представлен 1168 индивидуальными жилыми домами. Площадь жилищного фонда составляет 57 810 м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>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человека составляет 20,6 м</w:t>
      </w: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, тогда как в среднем в среднем по краю - 20,5 м2. Таким образом, обеспеченность жилищным фондом в </w:t>
      </w:r>
      <w:proofErr w:type="spellStart"/>
      <w:r w:rsidRPr="00533AC9">
        <w:rPr>
          <w:rFonts w:ascii="Times New Roman CYR" w:hAnsi="Times New Roman CYR" w:cs="Times New Roman CYR"/>
          <w:sz w:val="28"/>
          <w:szCs w:val="28"/>
        </w:rPr>
        <w:t>Незамаевском</w:t>
      </w:r>
      <w:proofErr w:type="spellEnd"/>
      <w:r w:rsidRPr="00533AC9">
        <w:rPr>
          <w:rFonts w:ascii="Times New Roman CYR" w:hAnsi="Times New Roman CYR" w:cs="Times New Roman CYR"/>
          <w:sz w:val="28"/>
          <w:szCs w:val="28"/>
        </w:rPr>
        <w:t xml:space="preserve"> сельском поселении можно считать достаточной.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33AC9">
        <w:rPr>
          <w:rFonts w:ascii="Times New Roman CYR" w:hAnsi="Times New Roman CYR" w:cs="Times New Roman CYR"/>
          <w:sz w:val="28"/>
          <w:szCs w:val="28"/>
        </w:rPr>
        <w:t xml:space="preserve">Поступление налоговых и неналоговых доходов в бюджет поселения в 2023 году составило 14388,5 тыс. рублей, в 2024 году планируется получить 15498,8 тыс. рублей, рост составил 105,2 %. На период с 2025 по 2027 год прогнозируется незначительный рост налоговых и неналоговых доходов, поступление составит 15498,8 тыс. рублей в  2025 году, 16066,1 тыс. рублей в </w:t>
      </w:r>
      <w:r w:rsidRPr="00533AC9">
        <w:rPr>
          <w:rFonts w:ascii="Times New Roman CYR" w:hAnsi="Times New Roman CYR" w:cs="Times New Roman CYR"/>
          <w:sz w:val="28"/>
          <w:szCs w:val="28"/>
        </w:rPr>
        <w:lastRenderedPageBreak/>
        <w:t>2026 году и 18214,7 тыс. рублей в 2027</w:t>
      </w:r>
      <w:proofErr w:type="gramEnd"/>
      <w:r w:rsidRPr="00533AC9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Ведущий специалист администрации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 xml:space="preserve">Незамаевского сельского поселения 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33AC9">
        <w:rPr>
          <w:rFonts w:ascii="Times New Roman CYR" w:hAnsi="Times New Roman CYR" w:cs="Times New Roman CYR"/>
          <w:sz w:val="28"/>
          <w:szCs w:val="28"/>
        </w:rPr>
        <w:t>Павловского района</w:t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</w:r>
      <w:r w:rsidRPr="00533AC9">
        <w:rPr>
          <w:rFonts w:ascii="Times New Roman CYR" w:hAnsi="Times New Roman CYR" w:cs="Times New Roman CYR"/>
          <w:sz w:val="28"/>
          <w:szCs w:val="28"/>
        </w:rPr>
        <w:tab/>
        <w:t xml:space="preserve">    Е.В. Голубович</w:t>
      </w:r>
    </w:p>
    <w:p w:rsidR="00533AC9" w:rsidRPr="00533AC9" w:rsidRDefault="00533AC9" w:rsidP="00533A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3AC9" w:rsidRPr="008E1E5B" w:rsidRDefault="00533AC9" w:rsidP="008E1E5B">
      <w:pPr>
        <w:rPr>
          <w:sz w:val="28"/>
          <w:szCs w:val="28"/>
        </w:rPr>
      </w:pPr>
    </w:p>
    <w:sectPr w:rsidR="00533AC9" w:rsidRPr="008E1E5B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6"/>
    <w:rsid w:val="00124B6B"/>
    <w:rsid w:val="00221D97"/>
    <w:rsid w:val="00533AC9"/>
    <w:rsid w:val="00593971"/>
    <w:rsid w:val="007E4A36"/>
    <w:rsid w:val="00847377"/>
    <w:rsid w:val="008C104E"/>
    <w:rsid w:val="008E1E5B"/>
    <w:rsid w:val="009B12C9"/>
    <w:rsid w:val="00A7331F"/>
    <w:rsid w:val="00BB60EB"/>
    <w:rsid w:val="00C03C02"/>
    <w:rsid w:val="00C404D5"/>
    <w:rsid w:val="00C848C4"/>
    <w:rsid w:val="00F36A0F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3A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unhideWhenUsed/>
    <w:qFormat/>
    <w:rsid w:val="00F36A0F"/>
    <w:pPr>
      <w:keepNext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533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9B12C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B12C9"/>
  </w:style>
  <w:style w:type="character" w:customStyle="1" w:styleId="30">
    <w:name w:val="Заголовок 3 Знак"/>
    <w:basedOn w:val="a0"/>
    <w:link w:val="3"/>
    <w:uiPriority w:val="9"/>
    <w:semiHidden/>
    <w:rsid w:val="00533A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3AC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3AC9"/>
  </w:style>
  <w:style w:type="character" w:customStyle="1" w:styleId="a6">
    <w:name w:val="Цветовое выделение"/>
    <w:uiPriority w:val="99"/>
    <w:rsid w:val="00533AC9"/>
    <w:rPr>
      <w:b/>
      <w:color w:val="26282F"/>
    </w:rPr>
  </w:style>
  <w:style w:type="character" w:customStyle="1" w:styleId="a7">
    <w:name w:val="Гипертекстовая ссылка"/>
    <w:uiPriority w:val="99"/>
    <w:rsid w:val="00533AC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533A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533AC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a">
    <w:name w:val="Цветовое выделение для Текст"/>
    <w:uiPriority w:val="99"/>
    <w:rsid w:val="00533AC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533A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c">
    <w:name w:val="Верхний колонтитул Знак"/>
    <w:basedOn w:val="a0"/>
    <w:link w:val="ab"/>
    <w:uiPriority w:val="99"/>
    <w:rsid w:val="00533AC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3A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Нижний колонтитул Знак"/>
    <w:basedOn w:val="a0"/>
    <w:link w:val="ad"/>
    <w:uiPriority w:val="99"/>
    <w:rsid w:val="00533AC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33AC9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3AC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533A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3A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unhideWhenUsed/>
    <w:qFormat/>
    <w:rsid w:val="00F36A0F"/>
    <w:pPr>
      <w:keepNext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533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9B12C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B12C9"/>
  </w:style>
  <w:style w:type="character" w:customStyle="1" w:styleId="30">
    <w:name w:val="Заголовок 3 Знак"/>
    <w:basedOn w:val="a0"/>
    <w:link w:val="3"/>
    <w:uiPriority w:val="9"/>
    <w:semiHidden/>
    <w:rsid w:val="00533A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3AC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3AC9"/>
  </w:style>
  <w:style w:type="character" w:customStyle="1" w:styleId="a6">
    <w:name w:val="Цветовое выделение"/>
    <w:uiPriority w:val="99"/>
    <w:rsid w:val="00533AC9"/>
    <w:rPr>
      <w:b/>
      <w:color w:val="26282F"/>
    </w:rPr>
  </w:style>
  <w:style w:type="character" w:customStyle="1" w:styleId="a7">
    <w:name w:val="Гипертекстовая ссылка"/>
    <w:uiPriority w:val="99"/>
    <w:rsid w:val="00533AC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533A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533AC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a">
    <w:name w:val="Цветовое выделение для Текст"/>
    <w:uiPriority w:val="99"/>
    <w:rsid w:val="00533AC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533A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c">
    <w:name w:val="Верхний колонтитул Знак"/>
    <w:basedOn w:val="a0"/>
    <w:link w:val="ab"/>
    <w:uiPriority w:val="99"/>
    <w:rsid w:val="00533AC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3A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Нижний колонтитул Знак"/>
    <w:basedOn w:val="a0"/>
    <w:link w:val="ad"/>
    <w:uiPriority w:val="99"/>
    <w:rsid w:val="00533AC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33AC9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3AC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533A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2019-11-15T10:05:00Z</cp:lastPrinted>
  <dcterms:created xsi:type="dcterms:W3CDTF">2024-11-25T10:30:00Z</dcterms:created>
  <dcterms:modified xsi:type="dcterms:W3CDTF">2024-11-25T10:30:00Z</dcterms:modified>
</cp:coreProperties>
</file>