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162F" w:rsidRDefault="009456FB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467040969"/>
      </w:pPr>
      <w:r w:rsidRPr="00F5162F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000000" w:rsidRPr="00F5162F" w:rsidRDefault="009456FB">
      <w:pPr>
        <w:widowControl w:val="0"/>
        <w:autoSpaceDE w:val="0"/>
        <w:autoSpaceDN w:val="0"/>
        <w:adjustRightInd w:val="0"/>
        <w:jc w:val="center"/>
        <w:divId w:val="1467040969"/>
      </w:pPr>
      <w:r w:rsidRPr="00F5162F">
        <w:rPr>
          <w:rFonts w:ascii="Times New Roman" w:hAnsi="Times New Roman" w:cs="Times New Roman"/>
          <w:bCs/>
          <w:sz w:val="24"/>
          <w:szCs w:val="24"/>
        </w:rPr>
        <w:t>№ 4 (Протокол об итогах. Лот 4)</w:t>
      </w:r>
      <w:r w:rsidRPr="00F5162F">
        <w:rPr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F5162F">
        <w:trPr>
          <w:divId w:val="1467040969"/>
          <w:trHeight w:val="100"/>
        </w:trPr>
        <w:tc>
          <w:tcPr>
            <w:tcW w:w="5096" w:type="dxa"/>
            <w:hideMark/>
          </w:tcPr>
          <w:p w:rsidR="00000000" w:rsidRPr="00F5162F" w:rsidRDefault="009456FB"/>
        </w:tc>
        <w:tc>
          <w:tcPr>
            <w:tcW w:w="5132" w:type="dxa"/>
            <w:hideMark/>
          </w:tcPr>
          <w:p w:rsidR="00000000" w:rsidRPr="00F5162F" w:rsidRDefault="00F5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9456FB" w:rsidRPr="00F5162F">
              <w:rPr>
                <w:rFonts w:ascii="Times New Roman" w:hAnsi="Times New Roman" w:cs="Times New Roman"/>
                <w:sz w:val="24"/>
                <w:szCs w:val="24"/>
              </w:rPr>
              <w:t>: 12.01.2024</w:t>
            </w:r>
            <w:r w:rsidR="009456FB" w:rsidRPr="00F5162F">
              <w:t xml:space="preserve"> </w:t>
            </w:r>
          </w:p>
        </w:tc>
      </w:tr>
    </w:tbl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F5162F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line="240" w:lineRule="auto"/>
        <w:jc w:val="both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Адрес электро</w:t>
      </w:r>
      <w:r w:rsidR="00F5162F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F5162F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divId w:val="1467040969"/>
      </w:pPr>
      <w:r w:rsidRPr="00F5162F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5162F">
        <w:rPr>
          <w:rFonts w:ascii="Times New Roman" w:hAnsi="Times New Roman" w:cs="Times New Roman"/>
          <w:sz w:val="24"/>
          <w:szCs w:val="24"/>
        </w:rPr>
        <w:t>Торги в форме публичн</w:t>
      </w:r>
      <w:r w:rsidRPr="00F5162F">
        <w:rPr>
          <w:rFonts w:ascii="Times New Roman" w:hAnsi="Times New Roman" w:cs="Times New Roman"/>
          <w:sz w:val="24"/>
          <w:szCs w:val="24"/>
        </w:rPr>
        <w:t>ого предложения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divId w:val="1467040969"/>
      </w:pPr>
      <w:r w:rsidRPr="00F5162F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5162F">
        <w:rPr>
          <w:rFonts w:ascii="Times New Roman" w:hAnsi="Times New Roman" w:cs="Times New Roman"/>
          <w:sz w:val="24"/>
          <w:szCs w:val="24"/>
        </w:rPr>
        <w:t>SBR012-2312110053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divId w:val="1467040969"/>
      </w:pPr>
      <w:r w:rsidRPr="00F5162F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5162F">
        <w:rPr>
          <w:rFonts w:ascii="Times New Roman" w:hAnsi="Times New Roman" w:cs="Times New Roman"/>
          <w:sz w:val="24"/>
          <w:szCs w:val="24"/>
        </w:rPr>
        <w:t>Автобус пригородный НЕФАЗ 5299-11-33, идентификационный номер (VIN) Х1F5299КСВ0F00285, 2011 года изготовления, модель, номер двигателя 740,62-280, В2597771, шасси номер 529703 В</w:t>
      </w:r>
      <w:r w:rsidRPr="00F5162F">
        <w:rPr>
          <w:rFonts w:ascii="Times New Roman" w:hAnsi="Times New Roman" w:cs="Times New Roman"/>
          <w:sz w:val="24"/>
          <w:szCs w:val="24"/>
        </w:rPr>
        <w:t>4008645, кузов номер Х1F5299КСВ0F00285, цвет кузова белый, ПТС 02 МХ 440725, выдан открытым акционерным общ</w:t>
      </w:r>
      <w:r w:rsidR="00F5162F">
        <w:rPr>
          <w:rFonts w:ascii="Times New Roman" w:hAnsi="Times New Roman" w:cs="Times New Roman"/>
          <w:sz w:val="24"/>
          <w:szCs w:val="24"/>
        </w:rPr>
        <w:t>еством «НЕФАЗ» 23 марта 2011 го</w:t>
      </w:r>
      <w:r w:rsidRPr="00F5162F">
        <w:rPr>
          <w:rFonts w:ascii="Times New Roman" w:hAnsi="Times New Roman" w:cs="Times New Roman"/>
          <w:sz w:val="24"/>
          <w:szCs w:val="24"/>
        </w:rPr>
        <w:t>да, регистрационный номер АА 728</w:t>
      </w:r>
      <w:r w:rsidR="00F5162F">
        <w:rPr>
          <w:rFonts w:ascii="Times New Roman" w:hAnsi="Times New Roman" w:cs="Times New Roman"/>
          <w:sz w:val="24"/>
          <w:szCs w:val="24"/>
        </w:rPr>
        <w:t xml:space="preserve"> 23, оснащенный терминалом нави</w:t>
      </w:r>
      <w:r w:rsidRPr="00F5162F">
        <w:rPr>
          <w:rFonts w:ascii="Times New Roman" w:hAnsi="Times New Roman" w:cs="Times New Roman"/>
          <w:sz w:val="24"/>
          <w:szCs w:val="24"/>
        </w:rPr>
        <w:t>гационного бортового КТ-56 ГЛОНАСС/GPS «Сириус Навига</w:t>
      </w:r>
      <w:r w:rsidRPr="00F5162F">
        <w:rPr>
          <w:rFonts w:ascii="Times New Roman" w:hAnsi="Times New Roman" w:cs="Times New Roman"/>
          <w:sz w:val="24"/>
          <w:szCs w:val="24"/>
        </w:rPr>
        <w:t xml:space="preserve">тор» и </w:t>
      </w:r>
      <w:proofErr w:type="spellStart"/>
      <w:r w:rsidRPr="00F5162F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F5162F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Pr="00F5162F">
        <w:rPr>
          <w:rFonts w:ascii="Times New Roman" w:hAnsi="Times New Roman" w:cs="Times New Roman"/>
          <w:sz w:val="24"/>
          <w:szCs w:val="24"/>
        </w:rPr>
        <w:t>TaxoRUS</w:t>
      </w:r>
      <w:proofErr w:type="spellEnd"/>
      <w:r w:rsidRPr="00F5162F">
        <w:rPr>
          <w:rFonts w:ascii="Times New Roman" w:hAnsi="Times New Roman" w:cs="Times New Roman"/>
          <w:sz w:val="24"/>
          <w:szCs w:val="24"/>
        </w:rPr>
        <w:t>»</w:t>
      </w:r>
      <w:r w:rsidRPr="00F5162F">
        <w:t xml:space="preserve"> </w:t>
      </w:r>
    </w:p>
    <w:p w:rsidR="00000000" w:rsidRPr="00F5162F" w:rsidRDefault="009456F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Начальная цена лота: 579458.00 руб.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Член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Член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162F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F5162F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Член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Член комиссии</w:t>
      </w:r>
      <w:r w:rsidRPr="00F5162F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F5162F" w:rsidRDefault="009456FB">
      <w:pPr>
        <w:spacing w:after="0"/>
        <w:divId w:val="1467040969"/>
      </w:pPr>
      <w:r w:rsidRPr="00F5162F">
        <w:br/>
      </w:r>
      <w:r w:rsidRPr="00F5162F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F5162F">
        <w:rPr>
          <w:rFonts w:ascii="Times New Roman" w:hAnsi="Times New Roman" w:cs="Times New Roman"/>
          <w:sz w:val="24"/>
          <w:szCs w:val="24"/>
        </w:rPr>
        <w:t xml:space="preserve">срока подачи заявок от претендентов не было подано ни одной заявки. </w:t>
      </w:r>
    </w:p>
    <w:p w:rsidR="00000000" w:rsidRPr="00F5162F" w:rsidRDefault="009456FB">
      <w:pPr>
        <w:spacing w:after="0"/>
        <w:divId w:val="1467040969"/>
      </w:pPr>
      <w:bookmarkStart w:id="0" w:name="_GoBack"/>
      <w:bookmarkEnd w:id="0"/>
      <w:r w:rsidRPr="00F5162F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F5162F" w:rsidRDefault="009456FB">
      <w:pPr>
        <w:spacing w:after="0"/>
        <w:divId w:val="1467040969"/>
      </w:pPr>
      <w:proofErr w:type="spellStart"/>
      <w:r w:rsidRPr="00F5162F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F5162F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>Украинская Марина Викторовна ___</w:t>
      </w:r>
      <w:r w:rsidRPr="00F5162F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56FB" w:rsidRPr="00F5162F" w:rsidRDefault="009456FB">
      <w:pPr>
        <w:spacing w:after="0"/>
        <w:divId w:val="1467040969"/>
      </w:pPr>
      <w:r w:rsidRPr="00F5162F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9456FB" w:rsidRPr="00F5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162F"/>
    <w:rsid w:val="009456FB"/>
    <w:rsid w:val="00F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E7B-32E6-439B-832C-78DC1A0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2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2024-01-12T12:33:00Z</cp:lastPrinted>
  <dcterms:created xsi:type="dcterms:W3CDTF">2024-01-12T12:33:00Z</dcterms:created>
  <dcterms:modified xsi:type="dcterms:W3CDTF">2024-01-12T12:33:00Z</dcterms:modified>
</cp:coreProperties>
</file>