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"/>
        <w:jc w:val="right"/>
        <w:rPr>
          <w:rFonts w:ascii="Times New Roman" w:hAnsi="Times New Roman"/>
          <w:b/>
          <w:sz w:val="28"/>
          <w:szCs w:val="28"/>
          <w:shd w:val="clear" w:fill="FFFFFF" w:color="FFFFFF"/>
        </w:rPr>
      </w:pPr>
      <w:r>
        <w:rPr>
          <w:rFonts w:ascii="Times New Roman" w:hAnsi="Times New Roman"/>
          <w:b/>
          <w:sz w:val="28"/>
          <w:szCs w:val="28"/>
          <w:shd w:val="clear" w:fill="FFFFFF" w:color="FFFFFF"/>
        </w:rPr>
        <w:t xml:space="preserve">Европейская неделя иммунизации </w:t>
      </w:r>
      <w:r>
        <w:rPr>
          <w:rFonts w:ascii="Times New Roman" w:hAnsi="Times New Roman"/>
          <w:b/>
          <w:sz w:val="28"/>
          <w:szCs w:val="28"/>
          <w:shd w:val="clear" w:fill="FFFFFF" w:color="FFFFFF"/>
        </w:rPr>
      </w:r>
    </w:p>
    <w:p>
      <w:pPr>
        <w:pStyle w:val="User"/>
        <w:jc w:val="right"/>
        <w:rPr>
          <w:rFonts w:ascii="Times New Roman" w:hAnsi="Times New Roman"/>
          <w:b/>
          <w:sz w:val="16"/>
          <w:szCs w:val="16"/>
          <w:shd w:val="clear" w:fill="FFFFFF" w:color="FFFFFF"/>
          <w:lang w:val="ru-RU"/>
        </w:rPr>
      </w:pPr>
      <w:r>
        <w:rPr>
          <w:rFonts w:ascii="Times New Roman" w:hAnsi="Times New Roman"/>
          <w:b/>
          <w:sz w:val="28"/>
          <w:szCs w:val="28"/>
          <w:shd w:val="clear" w:fill="FFFFFF" w:color="FFFFFF"/>
        </w:rPr>
        <w:t xml:space="preserve">с 2</w:t>
      </w:r>
      <w:r>
        <w:rPr>
          <w:rFonts w:ascii="Times New Roman" w:hAnsi="Times New Roman"/>
          <w:b/>
          <w:sz w:val="28"/>
          <w:szCs w:val="28"/>
          <w:shd w:val="clear" w:fill="FFFFFF" w:color="FFFFFF"/>
          <w:lang w:val="ru-RU"/>
        </w:rPr>
        <w:t xml:space="preserve">6 апреля</w:t>
      </w:r>
      <w:r>
        <w:rPr>
          <w:rFonts w:ascii="Times New Roman" w:hAnsi="Times New Roman"/>
          <w:b/>
          <w:sz w:val="28"/>
          <w:szCs w:val="28"/>
          <w:shd w:val="clear" w:fill="FFFFFF" w:color="FFFFFF"/>
        </w:rPr>
        <w:t xml:space="preserve"> по </w:t>
      </w:r>
      <w:r>
        <w:rPr>
          <w:rFonts w:ascii="Times New Roman" w:hAnsi="Times New Roman"/>
          <w:b/>
          <w:sz w:val="28"/>
          <w:szCs w:val="28"/>
          <w:shd w:val="clear" w:fill="FFFFFF" w:color="FFFFFF"/>
          <w:lang w:val="ru-RU"/>
        </w:rPr>
        <w:t xml:space="preserve">0</w:t>
      </w:r>
      <w:r>
        <w:rPr>
          <w:rFonts w:ascii="Times New Roman" w:hAnsi="Times New Roman"/>
          <w:b/>
          <w:sz w:val="28"/>
          <w:szCs w:val="28"/>
          <w:shd w:val="clear" w:fill="FFFFFF" w:color="FFFFFF"/>
          <w:lang w:val="ru-RU"/>
        </w:rPr>
        <w:t xml:space="preserve">2 мая 2021г.</w:t>
      </w:r>
      <w:r>
        <w:rPr>
          <w:rFonts w:ascii="Times New Roman" w:hAnsi="Times New Roman"/>
          <w:b/>
          <w:sz w:val="16"/>
          <w:szCs w:val="16"/>
          <w:shd w:val="clear" w:fill="FFFFFF" w:color="FFFFFF"/>
          <w:lang w:val="ru-RU"/>
        </w:rPr>
      </w:r>
    </w:p>
    <w:p>
      <w:pPr>
        <w:pStyle w:val="User"/>
        <w:jc w:val="center"/>
        <w:rPr>
          <w:b/>
          <w:sz w:val="32"/>
          <w:szCs w:val="32"/>
          <w:shd w:val="clear" w:fill="FFFFFF" w:color="FFFFFF"/>
        </w:rPr>
      </w:pPr>
      <w:r>
        <w:rPr>
          <w:b/>
          <w:sz w:val="32"/>
          <w:szCs w:val="32"/>
          <w:shd w:val="clear" w:fill="FFFFFF" w:color="FFFFFF"/>
        </w:rPr>
        <w:t xml:space="preserve">Сделай вклад в здоровое будущее – вакцинируйся!</w:t>
      </w:r>
      <w:r>
        <w:rPr>
          <w:b/>
          <w:sz w:val="32"/>
          <w:szCs w:val="32"/>
          <w:shd w:val="clear" w:fill="FFFFFF" w:color="FFFFFF"/>
        </w:rPr>
      </w:r>
    </w:p>
    <w:p>
      <w:pPr>
        <w:pStyle w:val="User"/>
        <w:ind w:firstLine="851"/>
        <w:jc w:val="both"/>
        <w:rPr>
          <w:sz w:val="28"/>
          <w:szCs w:val="28"/>
          <w:shd w:val="clear" w:fill="FFFFFF" w:color="FFFFFF"/>
        </w:rPr>
      </w:pPr>
      <w:r>
        <w:rPr>
          <w:sz w:val="28"/>
          <w:szCs w:val="28"/>
          <w:shd w:val="clear" w:fill="FFFFFF" w:color="FFFFFF"/>
        </w:rPr>
      </w:r>
    </w:p>
    <w:p>
      <w:pPr>
        <w:pStyle w:val="User"/>
        <w:ind w:firstLine="851"/>
        <w:jc w:val="both"/>
        <w:rPr>
          <w:b/>
          <w:sz w:val="24"/>
          <w:szCs w:val="24"/>
          <w:shd w:val="clear" w:fill="FFFFFF" w:color="FFFFFF"/>
          <w:lang w:val="ru-RU"/>
        </w:rPr>
      </w:pPr>
      <w:r>
        <w:rPr>
          <w:b/>
          <w:sz w:val="24"/>
          <w:szCs w:val="24"/>
          <w:shd w:val="clear" w:fill="FFFFFF" w:color="FFFFFF"/>
        </w:rPr>
        <w:t xml:space="preserve">В 20</w:t>
      </w:r>
      <w:r>
        <w:rPr>
          <w:b/>
          <w:sz w:val="24"/>
          <w:szCs w:val="24"/>
          <w:shd w:val="clear" w:fill="FFFFFF" w:color="FFFFFF"/>
          <w:lang w:val="ru-RU"/>
        </w:rPr>
        <w:t xml:space="preserve">2</w:t>
      </w:r>
      <w:r>
        <w:rPr>
          <w:b/>
          <w:sz w:val="24"/>
          <w:szCs w:val="24"/>
          <w:shd w:val="clear" w:fill="FFFFFF" w:color="FFFFFF"/>
          <w:lang w:val="ru-RU"/>
        </w:rPr>
        <w:t xml:space="preserve">1</w:t>
      </w:r>
      <w:r>
        <w:rPr>
          <w:b/>
          <w:sz w:val="24"/>
          <w:szCs w:val="24"/>
          <w:shd w:val="clear" w:fill="FFFFFF" w:color="FFFFFF"/>
        </w:rPr>
        <w:t xml:space="preserve"> году с 2</w:t>
      </w:r>
      <w:r>
        <w:rPr>
          <w:b/>
          <w:sz w:val="24"/>
          <w:szCs w:val="24"/>
          <w:shd w:val="clear" w:fill="FFFFFF" w:color="FFFFFF"/>
          <w:lang w:val="ru-RU"/>
        </w:rPr>
        <w:t xml:space="preserve">6 апреля</w:t>
      </w:r>
      <w:r>
        <w:rPr>
          <w:b/>
          <w:sz w:val="24"/>
          <w:szCs w:val="24"/>
          <w:shd w:val="clear" w:fill="FFFFFF" w:color="FFFFFF"/>
        </w:rPr>
        <w:t xml:space="preserve"> по </w:t>
      </w:r>
      <w:r>
        <w:rPr>
          <w:b/>
          <w:sz w:val="24"/>
          <w:szCs w:val="24"/>
          <w:shd w:val="clear" w:fill="FFFFFF" w:color="FFFFFF"/>
          <w:lang w:val="ru-RU"/>
        </w:rPr>
        <w:t xml:space="preserve">0</w:t>
      </w:r>
      <w:r>
        <w:rPr>
          <w:b/>
          <w:sz w:val="24"/>
          <w:szCs w:val="24"/>
          <w:shd w:val="clear" w:fill="FFFFFF" w:color="FFFFFF"/>
          <w:lang w:val="ru-RU"/>
        </w:rPr>
        <w:t xml:space="preserve">2 мая 2021г.</w:t>
      </w:r>
      <w:r>
        <w:rPr>
          <w:sz w:val="24"/>
          <w:szCs w:val="24"/>
          <w:shd w:val="clear" w:fill="FFFFFF" w:color="FFFFFF"/>
        </w:rPr>
        <w:t xml:space="preserve"> пройдет ежегодная акция:</w:t>
      </w:r>
      <w:r>
        <w:rPr>
          <w:b/>
          <w:sz w:val="24"/>
          <w:szCs w:val="24"/>
          <w:shd w:val="clear" w:fill="FFFFFF" w:color="FFFFFF"/>
        </w:rPr>
        <w:t xml:space="preserve"> Европейская неделя иммунизации</w:t>
      </w:r>
      <w:r>
        <w:rPr>
          <w:sz w:val="24"/>
          <w:szCs w:val="24"/>
          <w:shd w:val="clear" w:fill="FFFFFF" w:color="FFFFFF"/>
        </w:rPr>
        <w:t xml:space="preserve">, организуемая по </w:t>
      </w:r>
      <w:r>
        <w:rPr>
          <w:b/>
          <w:sz w:val="24"/>
          <w:szCs w:val="24"/>
          <w:shd w:val="clear" w:fill="FFFFFF" w:color="FFFFFF"/>
        </w:rPr>
        <w:t xml:space="preserve">инициативе Всемирной организации здравоохранения</w:t>
      </w:r>
      <w:r>
        <w:rPr>
          <w:sz w:val="24"/>
          <w:szCs w:val="24"/>
          <w:shd w:val="clear" w:fill="FFFFFF" w:color="FFFFFF"/>
        </w:rPr>
        <w:t xml:space="preserve"> (ВОЗ).  Она будет проходить под девизом</w:t>
      </w:r>
      <w:r>
        <w:rPr>
          <w:b/>
          <w:sz w:val="24"/>
          <w:szCs w:val="24"/>
          <w:shd w:val="clear" w:fill="FFFFFF" w:color="FFFFFF"/>
        </w:rPr>
        <w:t xml:space="preserve"> «</w:t>
      </w:r>
      <w:r>
        <w:rPr>
          <w:b/>
          <w:sz w:val="24"/>
          <w:szCs w:val="24"/>
          <w:shd w:val="clear" w:fill="FFFFFF" w:color="FFFFFF"/>
          <w:lang w:val="ru-RU"/>
        </w:rPr>
        <w:t xml:space="preserve">Предупредить</w:t>
      </w:r>
      <w:r>
        <w:rPr>
          <w:b/>
          <w:sz w:val="24"/>
          <w:szCs w:val="24"/>
          <w:shd w:val="clear" w:fill="FFFFFF" w:color="FFFFFF"/>
          <w:lang w:val="ru-RU"/>
        </w:rPr>
        <w:t xml:space="preserve">! Защитить! Привить</w:t>
      </w:r>
      <w:r>
        <w:rPr>
          <w:b/>
          <w:sz w:val="24"/>
          <w:szCs w:val="24"/>
          <w:shd w:val="clear" w:fill="FFFFFF" w:color="FFFFFF"/>
        </w:rPr>
        <w:t xml:space="preserve">!»</w:t>
      </w:r>
      <w:r>
        <w:rPr>
          <w:b/>
          <w:sz w:val="24"/>
          <w:szCs w:val="24"/>
          <w:shd w:val="clear" w:fill="FFFFFF" w:color="FFFFFF"/>
          <w:lang w:val="ru-RU"/>
        </w:rPr>
        <w:t xml:space="preserve">. </w:t>
      </w:r>
      <w:r>
        <w:rPr>
          <w:b/>
          <w:sz w:val="24"/>
          <w:szCs w:val="24"/>
          <w:shd w:val="clear" w:fill="FFFFFF" w:color="FFFFFF"/>
          <w:lang w:val="ru-RU"/>
        </w:rPr>
      </w:r>
    </w:p>
    <w:p>
      <w:pPr>
        <w:pStyle w:val="User"/>
        <w:ind w:firstLine="851"/>
        <w:jc w:val="both"/>
        <w:rPr>
          <w:sz w:val="24"/>
          <w:szCs w:val="24"/>
          <w:shd w:val="clear" w:fill="FFFFFF" w:color="FFFFFF"/>
        </w:rPr>
      </w:pPr>
      <w:r>
        <w:rPr>
          <w:b/>
          <w:sz w:val="24"/>
          <w:szCs w:val="24"/>
          <w:shd w:val="clear" w:fill="FFFFFF" w:color="FFFFFF"/>
        </w:rPr>
        <w:t xml:space="preserve">Иммунизация всемирно признана одной из самых успешных и эффективных мер по предотвращению заболеваний, сохранению жизни и здоровья людей.</w:t>
      </w:r>
      <w:r>
        <w:rPr>
          <w:sz w:val="24"/>
          <w:szCs w:val="24"/>
          <w:shd w:val="clear" w:fill="FFFFFF" w:color="FFFFFF"/>
        </w:rPr>
        <w:t xml:space="preserve"> За прошедшие годы благодаря профилактическим прививкам достигнуты </w:t>
      </w:r>
      <w:r>
        <w:rPr>
          <w:b/>
          <w:sz w:val="24"/>
          <w:szCs w:val="24"/>
          <w:shd w:val="clear" w:fill="FFFFFF" w:color="FFFFFF"/>
        </w:rPr>
        <w:t xml:space="preserve">грандиозные успехи в борьбе с инфекционными заболеваниями: на планете ликвидирована натуральная оспа</w:t>
      </w:r>
      <w:r>
        <w:rPr>
          <w:sz w:val="24"/>
          <w:szCs w:val="24"/>
          <w:shd w:val="clear" w:fill="FFFFFF" w:color="FFFFFF"/>
        </w:rPr>
        <w:t xml:space="preserve"> – инфекция, от которой в средние века вымирало население городов и целых стран. Был достигнут коллективный иммунитет планетарного масштаба, в связи с проведением вакцинации населения всего Земного шара. В настоящее время проводятся мероприятия по выполнению </w:t>
      </w:r>
      <w:r>
        <w:rPr>
          <w:b/>
          <w:bCs/>
          <w:sz w:val="24"/>
          <w:szCs w:val="24"/>
          <w:shd w:val="clear" w:fill="FFFFFF" w:color="FFFFFF"/>
        </w:rPr>
        <w:t xml:space="preserve">Глобальной Программы ВОЗ по ликвидации полиомиелита</w:t>
      </w:r>
      <w:r>
        <w:rPr>
          <w:sz w:val="24"/>
          <w:szCs w:val="24"/>
          <w:shd w:val="clear" w:fill="FFFFFF" w:color="FFFFFF"/>
        </w:rPr>
        <w:t xml:space="preserve">, большинство государств на Земле имеют </w:t>
      </w:r>
      <w:r>
        <w:rPr>
          <w:b/>
          <w:sz w:val="24"/>
          <w:szCs w:val="24"/>
          <w:shd w:val="clear" w:fill="FFFFFF" w:color="FFFFFF"/>
        </w:rPr>
        <w:t xml:space="preserve">сертификат Всемирной организации здравоохранения как территорий, свободных от полиомиелита.</w:t>
      </w:r>
      <w:r>
        <w:rPr>
          <w:sz w:val="24"/>
          <w:szCs w:val="24"/>
          <w:shd w:val="clear" w:fill="FFFFFF" w:color="FFFFFF"/>
        </w:rPr>
        <w:t xml:space="preserve"> </w:t>
      </w:r>
      <w:r>
        <w:rPr>
          <w:sz w:val="24"/>
          <w:szCs w:val="24"/>
          <w:shd w:val="clear" w:fill="FFFFFF" w:color="FFFFFF"/>
        </w:rPr>
      </w:r>
    </w:p>
    <w:p>
      <w:pPr>
        <w:pStyle w:val="User"/>
        <w:ind w:firstLine="851"/>
        <w:jc w:val="both"/>
        <w:rPr>
          <w:sz w:val="24"/>
          <w:szCs w:val="24"/>
          <w:shd w:val="clear" w:fill="FFFFFF" w:color="FFFFFF"/>
        </w:rPr>
      </w:pPr>
      <w:r>
        <w:rPr>
          <w:sz w:val="24"/>
          <w:szCs w:val="24"/>
          <w:shd w:val="clear" w:fill="FFFFFF" w:color="FFFFFF"/>
        </w:rPr>
        <w:t xml:space="preserve">Однако, несмотря на эти успехи в работе по достижению коллективного иммунитета по ряду болезней, включая корь, краснуху, дифтерию, отмечается отставание, и за последние два года в мире произошло несколько вспышек кори, дифтерии и ряда других болезней, предупреждаемых с помощью вакцин. Большинство детей, не охваченных прививками, </w:t>
      </w:r>
      <w:r>
        <w:rPr>
          <w:b/>
          <w:sz w:val="24"/>
          <w:szCs w:val="24"/>
          <w:shd w:val="clear" w:fill="FFFFFF" w:color="FFFFFF"/>
        </w:rPr>
        <w:t xml:space="preserve">проживают в наиболее бедных, неблагополучных и затронутых конфликтами районах.</w:t>
      </w:r>
      <w:r>
        <w:rPr>
          <w:sz w:val="24"/>
          <w:szCs w:val="24"/>
          <w:shd w:val="clear" w:fill="FFFFFF" w:color="FFFFFF"/>
        </w:rPr>
        <w:t xml:space="preserve"> Участившиеся в последние годы миграционные процессы среди населения из этих районов дают распространение инфекций по всему миру, в частности, неблагополучная эпидемиологическая ситуация по заболеваемости корью складывается в отдельных странах Европы (Украина, Румыния, Италия, Германия, Франция, Бельгия и т.п.), что не исключает риск завоза данной инфекции на территорию нашей страны.  </w:t>
      </w:r>
      <w:r>
        <w:rPr>
          <w:sz w:val="24"/>
          <w:szCs w:val="24"/>
          <w:shd w:val="clear" w:fill="FFFFFF" w:color="FFFFFF"/>
        </w:rPr>
      </w:r>
    </w:p>
    <w:p>
      <w:pPr>
        <w:pStyle w:val="User"/>
        <w:ind w:firstLine="851"/>
        <w:jc w:val="both"/>
        <w:rPr>
          <w:sz w:val="24"/>
          <w:szCs w:val="24"/>
          <w:shd w:val="clear" w:fill="FFFFFF" w:color="FFFFFF"/>
        </w:rPr>
      </w:pPr>
      <w:r>
        <w:rPr>
          <w:sz w:val="24"/>
          <w:szCs w:val="24"/>
          <w:shd w:val="clear" w:fill="FFFFFF" w:color="FFFFFF"/>
        </w:rPr>
        <w:t xml:space="preserve">Количество инфекционных болезней, от которых </w:t>
      </w:r>
      <w:r>
        <w:rPr>
          <w:b/>
          <w:bCs/>
          <w:sz w:val="24"/>
          <w:szCs w:val="24"/>
          <w:shd w:val="clear" w:fill="FFFFFF" w:color="FFFFFF"/>
        </w:rPr>
        <w:t xml:space="preserve">можно получить прививку в РФ достигло 12</w:t>
      </w:r>
      <w:r>
        <w:rPr>
          <w:sz w:val="24"/>
          <w:szCs w:val="24"/>
          <w:shd w:val="clear" w:fill="FFFFFF" w:color="FFFFFF"/>
        </w:rPr>
        <w:t xml:space="preserve">, это - туберкулез, полиомиелит, вирусный гепатит В, коклюш, столбняк, дифтерия, корь, эпидемический паротит, краснуха, гемофильная инфекция, пневмококковая инфекция и грипп. Все они включены в  </w:t>
      </w:r>
      <w:r>
        <w:rPr>
          <w:b/>
          <w:bCs/>
          <w:sz w:val="24"/>
          <w:szCs w:val="24"/>
          <w:shd w:val="clear" w:fill="FFFFFF" w:color="FFFFFF"/>
        </w:rPr>
        <w:t xml:space="preserve">Национальный календарь профилактических прививок.</w:t>
      </w:r>
      <w:r>
        <w:rPr>
          <w:sz w:val="24"/>
          <w:szCs w:val="24"/>
          <w:shd w:val="clear" w:fill="FFFFFF" w:color="FFFFFF"/>
        </w:rPr>
        <w:t xml:space="preserve"> Данные инфекционные заболевания </w:t>
      </w:r>
      <w:r>
        <w:rPr>
          <w:b/>
          <w:sz w:val="24"/>
          <w:szCs w:val="24"/>
          <w:shd w:val="clear" w:fill="FFFFFF" w:color="FFFFFF"/>
        </w:rPr>
        <w:t xml:space="preserve">приводят к серьезным осложнениям и инвалидизации</w:t>
      </w:r>
      <w:r>
        <w:rPr>
          <w:sz w:val="24"/>
          <w:szCs w:val="24"/>
          <w:shd w:val="clear" w:fill="FFFFFF" w:color="FFFFFF"/>
        </w:rPr>
        <w:t xml:space="preserve">, могут закончиться смертью заболевшего и при этом либо не имеют специфического лечения, либо лечение их сложное и длительное. </w:t>
      </w:r>
      <w:r>
        <w:rPr>
          <w:sz w:val="24"/>
          <w:szCs w:val="24"/>
          <w:shd w:val="clear" w:fill="FFFFFF" w:color="FFFFFF"/>
        </w:rPr>
      </w:r>
    </w:p>
    <w:p>
      <w:pPr>
        <w:pStyle w:val="User"/>
        <w:ind w:firstLine="851"/>
        <w:jc w:val="both"/>
        <w:rPr>
          <w:sz w:val="24"/>
          <w:szCs w:val="24"/>
          <w:shd w:val="clear" w:fill="FFFFFF" w:color="FFFFFF"/>
        </w:rPr>
      </w:pPr>
      <w:r>
        <w:rPr>
          <w:sz w:val="24"/>
          <w:szCs w:val="24"/>
          <w:shd w:val="clear" w:fill="FFFFFF" w:color="FFFFFF"/>
        </w:rPr>
        <w:t xml:space="preserve">Так например,</w:t>
      </w:r>
      <w:r>
        <w:rPr>
          <w:b/>
          <w:sz w:val="24"/>
          <w:szCs w:val="24"/>
          <w:shd w:val="clear" w:fill="FFFFFF" w:color="FFFFFF"/>
        </w:rPr>
        <w:t xml:space="preserve"> заболевание корью</w:t>
      </w:r>
      <w:r>
        <w:rPr>
          <w:sz w:val="24"/>
          <w:szCs w:val="24"/>
          <w:shd w:val="clear" w:fill="FFFFFF" w:color="FFFFFF"/>
        </w:rPr>
        <w:t xml:space="preserve"> у не привитых может привести к слепоте, энцефалиту, тяжелой диарее, поражению надпочечников, пневмонии; </w:t>
      </w:r>
      <w:r>
        <w:rPr>
          <w:b/>
          <w:sz w:val="24"/>
          <w:szCs w:val="24"/>
          <w:shd w:val="clear" w:fill="FFFFFF" w:color="FFFFFF"/>
        </w:rPr>
        <w:t xml:space="preserve">эпидемический паротит</w:t>
      </w:r>
      <w:r>
        <w:rPr>
          <w:sz w:val="24"/>
          <w:szCs w:val="24"/>
          <w:shd w:val="clear" w:fill="FFFFFF" w:color="FFFFFF"/>
        </w:rPr>
        <w:t xml:space="preserve"> может осложниться орхитом (заболевание мочеполовой системы у мужчин) с последующим бесплодием у мужчин, панкреатитом; </w:t>
      </w:r>
      <w:r>
        <w:rPr>
          <w:b/>
          <w:sz w:val="24"/>
          <w:szCs w:val="24"/>
          <w:shd w:val="clear" w:fill="FFFFFF" w:color="FFFFFF"/>
        </w:rPr>
        <w:t xml:space="preserve">полиомиелит</w:t>
      </w:r>
      <w:r>
        <w:rPr>
          <w:sz w:val="24"/>
          <w:szCs w:val="24"/>
          <w:shd w:val="clear" w:fill="FFFFFF" w:color="FFFFFF"/>
        </w:rPr>
        <w:t xml:space="preserve"> приводит к параличам и последующей инвалидизации.  </w:t>
      </w:r>
      <w:r>
        <w:rPr>
          <w:b/>
          <w:sz w:val="24"/>
          <w:szCs w:val="24"/>
          <w:shd w:val="clear" w:fill="FFFFFF" w:color="FFFFFF"/>
        </w:rPr>
        <w:t xml:space="preserve">Заболевание краснухой</w:t>
      </w:r>
      <w:r>
        <w:rPr>
          <w:sz w:val="24"/>
          <w:szCs w:val="24"/>
          <w:shd w:val="clear" w:fill="FFFFFF" w:color="FFFFFF"/>
        </w:rPr>
        <w:t xml:space="preserve"> осложняется энцефалитом, тромбоцитопенической пурпурой. Наиболее грозное осложнение заболевания краснухой – </w:t>
      </w:r>
      <w:r>
        <w:rPr>
          <w:b/>
          <w:sz w:val="24"/>
          <w:szCs w:val="24"/>
          <w:shd w:val="clear" w:fill="FFFFFF" w:color="FFFFFF"/>
        </w:rPr>
        <w:t xml:space="preserve">синдром врожденной краснухи</w:t>
      </w:r>
      <w:r>
        <w:rPr>
          <w:sz w:val="24"/>
          <w:szCs w:val="24"/>
          <w:shd w:val="clear" w:fill="FFFFFF" w:color="FFFFFF"/>
        </w:rPr>
        <w:t xml:space="preserve">, который сопровождается врожденными пороками сердца, слепотой, глухотой, микроцефалией (значительное уменьшение размеров черепа). Для детей первых лет жизни</w:t>
      </w:r>
      <w:r>
        <w:rPr>
          <w:b/>
          <w:sz w:val="24"/>
          <w:szCs w:val="24"/>
          <w:shd w:val="clear" w:fill="FFFFFF" w:color="FFFFFF"/>
        </w:rPr>
        <w:t xml:space="preserve">, не привитых против</w:t>
      </w:r>
      <w:r>
        <w:rPr>
          <w:sz w:val="24"/>
          <w:szCs w:val="24"/>
          <w:shd w:val="clear" w:fill="FFFFFF" w:color="FFFFFF"/>
        </w:rPr>
        <w:t xml:space="preserve"> </w:t>
      </w:r>
      <w:r>
        <w:rPr>
          <w:b/>
          <w:sz w:val="24"/>
          <w:szCs w:val="24"/>
          <w:shd w:val="clear" w:fill="FFFFFF" w:color="FFFFFF"/>
        </w:rPr>
        <w:t xml:space="preserve">туберкулеза</w:t>
      </w:r>
      <w:r>
        <w:rPr>
          <w:sz w:val="24"/>
          <w:szCs w:val="24"/>
          <w:shd w:val="clear" w:fill="FFFFFF" w:color="FFFFFF"/>
        </w:rPr>
        <w:t xml:space="preserve">, инфицирование возбудителем этого заболевания приводит к быстрому развитию генерализованного туберкулеза с высокой смертностью. </w:t>
      </w:r>
      <w:r>
        <w:rPr>
          <w:b/>
          <w:sz w:val="24"/>
          <w:szCs w:val="24"/>
          <w:shd w:val="clear" w:fill="FFFFFF" w:color="FFFFFF"/>
        </w:rPr>
        <w:t xml:space="preserve">Инфицирование вирусом гепатита В</w:t>
      </w:r>
      <w:r>
        <w:rPr>
          <w:sz w:val="24"/>
          <w:szCs w:val="24"/>
          <w:shd w:val="clear" w:fill="FFFFFF" w:color="FFFFFF"/>
        </w:rPr>
        <w:t xml:space="preserve"> приводит к развитию цирроза и рака печени.   </w:t>
      </w:r>
      <w:r>
        <w:rPr>
          <w:sz w:val="24"/>
          <w:szCs w:val="24"/>
          <w:shd w:val="clear" w:fill="FFFFFF" w:color="FFFFFF"/>
        </w:rPr>
      </w:r>
    </w:p>
    <w:p>
      <w:pPr>
        <w:pStyle w:val="User"/>
        <w:ind w:firstLine="851"/>
        <w:jc w:val="both"/>
        <w:rPr>
          <w:sz w:val="24"/>
          <w:szCs w:val="24"/>
          <w:shd w:val="clear" w:fill="FFFFFF" w:color="FFFFFF"/>
        </w:rPr>
      </w:pPr>
      <w:r>
        <w:rPr>
          <w:b/>
          <w:sz w:val="24"/>
          <w:szCs w:val="24"/>
          <w:shd w:val="clear" w:fill="FFFFFF" w:color="FFFFFF"/>
        </w:rPr>
        <w:t xml:space="preserve">Право на защиту от болезней, которые можно предупредить – это право каждого человека, в том числе ребенка.</w:t>
      </w:r>
      <w:r>
        <w:rPr>
          <w:sz w:val="24"/>
          <w:szCs w:val="24"/>
          <w:shd w:val="clear" w:fill="FFFFFF" w:color="FFFFFF"/>
        </w:rPr>
        <w:t xml:space="preserve"> Государство гарантирует доступность для граждан профилактических прививок, бесплатное их проведение в организациях государственной и муниципальной систем здравоохранения, обеспечение современного уровня производства вакцин. Все применяемые в Российской Федерации вакцины проходят </w:t>
      </w:r>
      <w:r>
        <w:rPr>
          <w:b/>
          <w:sz w:val="24"/>
          <w:szCs w:val="24"/>
          <w:shd w:val="clear" w:fill="FFFFFF" w:color="FFFFFF"/>
        </w:rPr>
        <w:t xml:space="preserve">обязательный контроль качества в установленном порядке. </w:t>
      </w:r>
      <w:r>
        <w:rPr>
          <w:sz w:val="24"/>
          <w:szCs w:val="24"/>
          <w:shd w:val="clear" w:fill="FFFFFF" w:color="FFFFFF"/>
        </w:rPr>
      </w:r>
    </w:p>
    <w:p>
      <w:pPr>
        <w:pStyle w:val="User"/>
        <w:ind w:firstLine="851"/>
        <w:jc w:val="both"/>
        <w:rPr>
          <w:color w:val="000000"/>
          <w:sz w:val="28"/>
          <w:szCs w:val="28"/>
          <w:lang w:val="ru-RU"/>
        </w:rPr>
      </w:pPr>
      <w:r>
        <w:rPr>
          <w:sz w:val="24"/>
          <w:szCs w:val="24"/>
          <w:shd w:val="clear" w:fill="FFFFFF" w:color="FFFFFF"/>
        </w:rPr>
        <w:t xml:space="preserve"> </w:t>
      </w:r>
      <w:r>
        <w:rPr>
          <w:b/>
          <w:sz w:val="24"/>
          <w:szCs w:val="24"/>
          <w:shd w:val="clear" w:fill="FFFFFF" w:color="FFFFFF"/>
        </w:rPr>
        <w:t xml:space="preserve">Широкий охват прививками</w:t>
      </w:r>
      <w:r>
        <w:rPr>
          <w:sz w:val="24"/>
          <w:szCs w:val="24"/>
          <w:shd w:val="clear" w:fill="FFFFFF" w:color="FFFFFF"/>
        </w:rPr>
        <w:t xml:space="preserve"> </w:t>
      </w:r>
      <w:r>
        <w:rPr>
          <w:b/>
          <w:bCs/>
          <w:sz w:val="24"/>
          <w:szCs w:val="24"/>
          <w:shd w:val="clear" w:fill="FFFFFF" w:color="FFFFFF"/>
        </w:rPr>
        <w:t xml:space="preserve">создает коллективный иммунитет</w:t>
      </w:r>
      <w:r>
        <w:rPr>
          <w:sz w:val="24"/>
          <w:szCs w:val="24"/>
          <w:shd w:val="clear" w:fill="FFFFFF" w:color="FFFFFF"/>
        </w:rPr>
        <w:t xml:space="preserve">, который обеспечивает  невосприимчивость к инфекционным заболеваниям или легкое течение заболеваний без осложнений.</w:t>
      </w: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8"/>
        <w:jc w:val="both"/>
        <w:rPr>
          <w:rFonts w:ascii="Calibri" w:hAnsi="Calibri"/>
          <w:color w:val="000000"/>
          <w:sz w:val="24"/>
          <w:szCs w:val="24"/>
          <w:lang w:val="ru-RU"/>
        </w:rPr>
      </w:pPr>
      <w:r>
        <w:rPr>
          <w:rFonts w:ascii="Calibri" w:hAnsi="Calibri"/>
          <w:b/>
          <w:color w:val="000000"/>
          <w:sz w:val="24"/>
          <w:szCs w:val="24"/>
          <w:vertAlign w:val="baseline"/>
          <w:lang w:val="ru-RU"/>
        </w:rPr>
        <w:t xml:space="preserve">В настоящее время в стране проводится всеобщая вакцинация от новой коронавирусной инфекции для создания коллективного иммунитета и популяционной защиты населения от этого тяжёлого заболевания. Дело каждого своевременно получить прививку, защитить себя и своих близких от коронавируса, не допустить дальнейшего распространения инфекции, что позволит стабилизировать и снизить заболеваемость, приведет к ослаблению карантинных мероприятий</w:t>
      </w:r>
      <w:r>
        <w:rPr>
          <w:rFonts w:ascii="Calibri" w:hAnsi="Calibri"/>
          <w:b/>
          <w:color w:val="000000"/>
          <w:sz w:val="24"/>
          <w:szCs w:val="24"/>
          <w:vertAlign w:val="baseline"/>
        </w:rPr>
        <w:t xml:space="preserve">, укрепит экономическое положение страны и каждого из нас! Наш долг - сделать прививку</w:t>
      </w:r>
      <w:r>
        <w:rPr>
          <w:rFonts w:ascii="Calibri" w:hAnsi="Calibri"/>
          <w:b/>
          <w:color w:val="000000"/>
          <w:sz w:val="24"/>
          <w:szCs w:val="24"/>
          <w:vertAlign w:val="baseline"/>
          <w:lang w:val="ru-RU"/>
        </w:rPr>
        <w:t xml:space="preserve">!</w:t>
      </w:r>
      <w:r>
        <w:rPr>
          <w:rFonts w:ascii="Calibri" w:hAnsi="Calibri"/>
          <w:b/>
          <w:color w:val="000000"/>
          <w:sz w:val="24"/>
          <w:szCs w:val="24"/>
          <w:vertAlign w:val="baseline"/>
        </w:rPr>
        <w:t xml:space="preserve"> И будьте здоровы!</w:t>
      </w:r>
      <w:r>
        <w:rPr>
          <w:rFonts w:ascii="Calibri" w:hAnsi="Calibri"/>
          <w:color w:val="000000"/>
          <w:sz w:val="24"/>
          <w:szCs w:val="24"/>
          <w:lang w:val="ru-RU"/>
        </w:rPr>
      </w:r>
    </w:p>
    <w:p>
      <w:pPr>
        <w:pStyle w:val="User"/>
        <w:ind w:firstLine="851"/>
        <w:jc w:val="both"/>
        <w:rPr>
          <w:sz w:val="24"/>
          <w:szCs w:val="24"/>
          <w:shd w:val="clear" w:fill="FFFFFF" w:color="FFFFFF"/>
        </w:rPr>
      </w:pPr>
      <w:r>
        <w:rPr>
          <w:sz w:val="24"/>
          <w:szCs w:val="24"/>
          <w:shd w:val="clear" w:fill="FFFFFF" w:color="FFFFFF"/>
        </w:rPr>
      </w:r>
    </w:p>
    <w:p>
      <w:pPr>
        <w:pStyle w:val="User"/>
        <w:jc w:val="right"/>
        <w:rPr>
          <w:rFonts w:ascii="Times New Roman" w:hAnsi="Times New Roman"/>
          <w:sz w:val="20"/>
          <w:szCs w:val="20"/>
          <w:shd w:val="clear" w:fill="FFFFFF" w:color="FFFFFF"/>
        </w:rPr>
      </w:pPr>
      <w:r>
        <w:rPr>
          <w:rFonts w:ascii="Times New Roman" w:hAnsi="Times New Roman"/>
          <w:sz w:val="20"/>
          <w:szCs w:val="20"/>
          <w:shd w:val="clear" w:fill="FFFFFF" w:color="FFFFFF"/>
        </w:rPr>
      </w:r>
    </w:p>
    <w:p>
      <w:pPr>
        <w:pStyle w:val="User"/>
        <w:jc w:val="right"/>
        <w:rPr>
          <w:rFonts w:ascii="Times New Roman" w:hAnsi="Times New Roman"/>
          <w:sz w:val="16"/>
          <w:szCs w:val="16"/>
          <w:shd w:val="clear" w:fill="FFFFFF" w:color="FFFFFF"/>
        </w:rPr>
      </w:pPr>
      <w:r>
        <w:rPr>
          <w:sz w:val="16"/>
          <w:szCs w:val="16"/>
          <w:shd w:val="clear" w:fill="FFFFFF" w:color="FFFFFF"/>
        </w:rPr>
        <w:t xml:space="preserve">Филиал ФБУЗ «ЦГиЭ в РО»</w:t>
      </w:r>
      <w:r>
        <w:rPr>
          <w:rFonts w:ascii="Times New Roman" w:hAnsi="Times New Roman"/>
          <w:sz w:val="16"/>
          <w:szCs w:val="16"/>
          <w:shd w:val="clear" w:fill="FFFFFF" w:color="FFFFFF"/>
        </w:rPr>
      </w:r>
    </w:p>
    <w:p>
      <w:pPr>
        <w:pStyle w:val="User"/>
        <w:jc w:val="right"/>
        <w:rPr>
          <w:sz w:val="16"/>
          <w:szCs w:val="16"/>
          <w:shd w:val="clear" w:fill="FFFFFF" w:color="FFFFFF"/>
        </w:rPr>
      </w:pPr>
      <w:r>
        <w:rPr>
          <w:sz w:val="16"/>
          <w:szCs w:val="16"/>
          <w:shd w:val="clear" w:fill="FFFFFF" w:color="FFFFFF"/>
        </w:rPr>
        <w:t xml:space="preserve"> в г. Ростове-на-Дону.</w:t>
      </w:r>
    </w:p>
    <w:sectPr>
      <w:footnotePr>
        <w:numFmt w:val="decimal"/>
        <w:numRestart w:val="continuous"/>
        <w:numStart w:val="1"/>
      </w:footnotePr>
      <w:endnotePr>
        <w:numFmt w:val="lowerRoman"/>
        <w:numRestart w:val="continuous"/>
        <w:numStart w:val="1"/>
      </w:endnotePr>
      <w:type w:val="nextPage"/>
      <w:pgSz w:w="11906" w:h="16838"/>
      <w:pgMar w:top="567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defaultTabStop w:val="708"/>
  <w:footnotePr/>
  <w:compat>
    <w:balanceSingleByteDoubleByteWidth w:val="true"/>
    <w:doNotLeaveBackslashAlone w:val="true"/>
    <w:ulTrailSpace w:val="true"/>
    <w:adjustLineHeightInTable w:val="true"/>
    <w:doNotUseHTMLParagraphAutoSpacing w:val="true"/>
    <w:doNotBreakWrappedTables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Обычный"/>
    <w:next w:val="Normal"/>
    <w:link w:val="Normal"/>
    <w:rPr>
      <w:rFonts w:ascii="Calibri" w:hAnsi="Calibri" w:eastAsia="Arial"/>
      <w:sz w:val="22"/>
      <w:szCs w:val="22"/>
      <w:lang w:val="ru-RU" w:bidi="ar-SA" w:eastAsia="ru-RU"/>
    </w:rPr>
    <w:pPr>
      <w:spacing w:lineRule="auto" w:line="276" w:after="200"/>
    </w:pPr>
  </w:style>
  <w:style w:type="paragraph" w:styleId="Heading1">
    <w:name w:val="Заголовок 1"/>
    <w:basedOn w:val="Normal"/>
    <w:next w:val="Normal"/>
    <w:link w:val="Normal"/>
    <w:rPr>
      <w:rFonts w:ascii="Arial" w:hAnsi="Arial" w:eastAsia="SimSun"/>
      <w:b/>
      <w:sz w:val="36"/>
      <w:szCs w:val="36"/>
    </w:rPr>
    <w:pPr>
      <w:keepLines/>
      <w:keepNext/>
      <w:spacing w:after="60" w:before="240"/>
      <w:outlineLvl w:val="0"/>
    </w:pPr>
  </w:style>
  <w:style w:type="paragraph" w:styleId="Heading2">
    <w:name w:val="Заголовок 2"/>
    <w:basedOn w:val="Heading1"/>
    <w:next w:val="Normal"/>
    <w:link w:val="Normal"/>
    <w:rPr>
      <w:sz w:val="32"/>
      <w:szCs w:val="32"/>
    </w:rPr>
    <w:pPr>
      <w:outlineLvl w:val="1"/>
    </w:pPr>
  </w:style>
  <w:style w:type="paragraph" w:styleId="Heading3">
    <w:name w:val="Заголовок 3"/>
    <w:basedOn w:val="Heading2"/>
    <w:next w:val="Normal"/>
    <w:link w:val="Normal"/>
    <w:rPr>
      <w:sz w:val="28"/>
      <w:szCs w:val="28"/>
    </w:rPr>
    <w:pPr>
      <w:outlineLvl w:val="2"/>
    </w:pPr>
  </w:style>
  <w:style w:type="character" w:styleId="NormalCharacter">
    <w:name w:val="Основной шрифт абзаца"/>
    <w:next w:val="NormalCharacter"/>
    <w:link w:val="Normal"/>
  </w:style>
  <w:style w:type="table" w:styleId="TableNormal">
    <w:name w:val="Обычная таблица"/>
    <w:next w:val="TableNormal"/>
    <w:link w:val="Normal"/>
  </w:style>
  <w:style w:type="character" w:styleId="Strong">
    <w:name w:val="Строгий"/>
    <w:basedOn w:val="NormalCharacter"/>
    <w:next w:val="Strong"/>
    <w:link w:val="Normal"/>
    <w:rPr>
      <w:b/>
      <w:bCs w:val="false"/>
    </w:rPr>
  </w:style>
  <w:style w:type="paragraph" w:styleId="HtmlNormal">
    <w:name w:val="Обычный (веб)"/>
    <w:basedOn w:val="Normal"/>
    <w:next w:val="HtmlNormal"/>
    <w:link w:val="Normal"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User">
    <w:name w:val="No Spacing"/>
    <w:next w:val="User"/>
    <w:link w:val="Normal"/>
    <w:rPr>
      <w:rFonts w:ascii="Calibri" w:hAnsi="Calibri" w:eastAsia="Arial"/>
      <w:sz w:val="22"/>
      <w:szCs w:val="22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ONLYOFFICE/6.2.0.148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