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b/>
          <w:b/>
          <w:bCs/>
          <w:sz w:val="28"/>
        </w:rPr>
      </w:pPr>
      <w:r>
        <w:rPr>
          <w:rFonts w:eastAsia="Times New Roman" w:cs="Times New Roman" w:ascii="Times New Roman" w:hAnsi="Times New Roman"/>
          <w:b/>
          <w:bCs/>
          <w:sz w:val="28"/>
        </w:rPr>
        <w:t>Эмоциональное развитие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Игра - основной или ведущий тип деятельности у дошкольников, поэтому развитие многих способностей проводится при помощи игровой терапии.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Подвижные игры являются эффективным средством раскрепощения детей, у которых наблюдаются сложности коммуникации.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В подвижных играх уравнивают всех участников, для всех принимаются единые правила, что является важным для вовлечения в действия самых застенчивых и малообщительных детей.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Сюжетно ролевые игры предоставляют возможность одновременно поддерживать ролевые отношения с позиции своего персонажа, а также реальные отношения в качестве партнеров по игре. Поэтому сюжетная игра является такой благодатной площадкой для развития коммуникативных способностей дошкольников.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Дидактические коммуникативные игры нацелены на формирование конкретных умений и навыков, важных для успешного общения: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- умения устанавливать контакт, то есть располагать к себе;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- освоения мимики и жестов как средств невербального общения;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-  умения сопереживать;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- навыков урегулирования конфликтов;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- выразительности речи.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Комбинация обоих методов, систематически применяемая в дошкольном возрасте, эффективно готовит ребенка к школе и предупреждает возможные проблемы, связанные с построением взаимоотношений с педагогами и ровесниками.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На этапе завершения дошкольного образования согласно требованиям к результатам освоения образовательной программы ДОО ребенок должен: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- обладать установкой положительного отношения к миру, к разным видам труда, другим людям и самому себе;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- обладать чувством собственного достоинства;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- активно взаимодействовать со сверстниками и взрослыми, участвовать в совместных играх;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- уметь выбирать себе род занятий, участников по совместной деятельности;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- уметь договариваться, учитывать интересы и чувства других, сопереживать неудачам и радоваться успехам других, адекватно проявлять свои чувства, в т. ч. чувство веры в себя;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- стараться разрешать конфликты.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/>
          <w:bCs/>
          <w:sz w:val="28"/>
        </w:rPr>
        <w:t>Игра, является</w:t>
      </w:r>
      <w:r>
        <w:rPr>
          <w:rFonts w:eastAsia="Times New Roman" w:cs="Times New Roman" w:ascii="Times New Roman" w:hAnsi="Times New Roman"/>
          <w:bCs/>
          <w:sz w:val="28"/>
        </w:rPr>
        <w:t xml:space="preserve"> коллективной деятельностью, предполагающей необходимость общаться со сверстниками или взрослыми.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Коммуникативная игра – это совместная деятельность детей, способ самовыражения, взаимного сотрудничества, где партнеры находятся в позиции «на равных», стараются учитывать особенности и интересы друг друга.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Основная цель использования коммуникативных игр - помочь детям войти в современный мир, такой сложный, динамичный, характеризующийся множеством негативных явлений.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Также коммуникативные игры используются для: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- развития динамической стороны общения: легкости вступления в контакт, инициативности, готовности к общению;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-развития эмпатии, сочувствия к партнеру, эмоциональности и выразительности невербальных средств общения;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- развития позитивного самоощущения, что связано с состоянием раскрепощенности, уверенности в себе, ощущением собственного эмоционального благополучия, своей значимости в детском коллективе, сформированной положительной самооценки.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Радость, переживаемая от игры со сверстниками, в дальнейшем превращается в жизнерадостность, оптимистическое отношение к жизни, умение ладить с людьми, успешно решать жизненные проблемы, добиваться поставленных целей. Напротив, отсутствие или недоразвитие коммуникативных способностей играет дезорганизующую роль, приводит к задержке общего психического развития ребенка, а в дальнейшем – к формированию негативной жизненной позиции.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Нужно отметить, что основная задача игр на формирование навыков общения - это развитие коммуникативных навыков у детей дошкольного возраста. Также игры на формирование навыков общение направлены на установление эмоционального контакта и доверия детей к окружающим.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Эмоциональное общение возникает на основе совместных действий, сопровождаемых улыбкой, ласковой интонацией, проявлением заботы к каждому ребёнку.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Ребенок дошкольного возраста в силу своих психологических особенностей лучше всего воспринимает новые знания и усваивает навыки, если они были поданы в игровой форме. Именно поэтому обучение приемам общения должно проводиться с использованием игр, направленных на развитие эмоций, формирование умений избегать конфликтных ситуаций.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  <w:t>Очень важно во время игры держаться свободно, артистично, «заражать» детей весельем. Важно также понимать воспитательное значение каждой игры.</w:t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</w:r>
    </w:p>
    <w:p>
      <w:pPr>
        <w:pStyle w:val="Normal"/>
        <w:spacing w:lineRule="auto" w:line="276"/>
        <w:ind w:firstLine="720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eastAsia="Times New Roman" w:cs="Times New Roman" w:ascii="Times New Roman" w:hAnsi="Times New Roman"/>
          <w:bCs/>
          <w:sz w:val="28"/>
        </w:rPr>
      </w:r>
    </w:p>
    <w:p>
      <w:pPr>
        <w:pStyle w:val="Normal"/>
        <w:spacing w:lineRule="auto" w:line="276"/>
        <w:ind w:firstLine="720"/>
        <w:jc w:val="both"/>
        <w:rPr/>
      </w:pPr>
      <w:r>
        <w:rPr/>
      </w:r>
    </w:p>
    <w:sectPr>
      <w:type w:val="nextPage"/>
      <w:pgSz w:w="11906" w:h="16838"/>
      <w:pgMar w:left="1666" w:right="816" w:header="0" w:top="851" w:footer="0" w:bottom="56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mo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Cambr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mo" w:hAnsi="Arimo" w:eastAsia="Arimo" w:cs="Arimo"/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Arimo" w:hAnsi="Arimo" w:eastAsia="Arimo" w:cs="Arimo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a6"/>
    <w:uiPriority w:val="99"/>
    <w:semiHidden/>
    <w:qFormat/>
    <w:rsid w:val="003660a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Noto Sans Symbols" w:cs="Noto Sans Symbols"/>
    </w:rPr>
  </w:style>
  <w:style w:type="character" w:styleId="ListLabel2">
    <w:name w:val="ListLabel 2"/>
    <w:qFormat/>
    <w:rPr>
      <w:rFonts w:eastAsia="Courier New" w:cs="Courier New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eastAsia="Noto Sans Symbols" w:cs="Noto Sans Symbols"/>
    </w:rPr>
  </w:style>
  <w:style w:type="character" w:styleId="ListLabel5">
    <w:name w:val="ListLabel 5"/>
    <w:qFormat/>
    <w:rPr>
      <w:rFonts w:eastAsia="Courier New" w:cs="Courier New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Noto Sans Symbols" w:cs="Noto Sans Symbols"/>
    </w:rPr>
  </w:style>
  <w:style w:type="character" w:styleId="ListLabel8">
    <w:name w:val="ListLabel 8"/>
    <w:qFormat/>
    <w:rPr>
      <w:rFonts w:eastAsia="Courier New" w:cs="Courier New"/>
    </w:rPr>
  </w:style>
  <w:style w:type="character" w:styleId="ListLabel9">
    <w:name w:val="ListLabel 9"/>
    <w:qFormat/>
    <w:rPr>
      <w:rFonts w:eastAsia="Noto Sans Symbols" w:cs="Noto Sans Symbols"/>
    </w:rPr>
  </w:style>
  <w:style w:type="character" w:styleId="ListLabel10">
    <w:name w:val="ListLabel 10"/>
    <w:qFormat/>
    <w:rPr>
      <w:rFonts w:eastAsia="Noto Sans Symbols" w:cs="Noto Sans Symbols"/>
    </w:rPr>
  </w:style>
  <w:style w:type="character" w:styleId="ListLabel11">
    <w:name w:val="ListLabel 11"/>
    <w:qFormat/>
    <w:rPr>
      <w:rFonts w:eastAsia="Courier New" w:cs="Courier New"/>
    </w:rPr>
  </w:style>
  <w:style w:type="character" w:styleId="ListLabel12">
    <w:name w:val="ListLabel 12"/>
    <w:qFormat/>
    <w:rPr>
      <w:rFonts w:eastAsia="Noto Sans Symbols" w:cs="Noto Sans Symbols"/>
    </w:rPr>
  </w:style>
  <w:style w:type="character" w:styleId="ListLabel13">
    <w:name w:val="ListLabel 13"/>
    <w:qFormat/>
    <w:rPr>
      <w:rFonts w:eastAsia="Noto Sans Symbols" w:cs="Noto Sans Symbols"/>
    </w:rPr>
  </w:style>
  <w:style w:type="character" w:styleId="ListLabel14">
    <w:name w:val="ListLabel 14"/>
    <w:qFormat/>
    <w:rPr>
      <w:rFonts w:eastAsia="Courier New" w:cs="Courier New"/>
    </w:rPr>
  </w:style>
  <w:style w:type="character" w:styleId="ListLabel15">
    <w:name w:val="ListLabel 15"/>
    <w:qFormat/>
    <w:rPr>
      <w:rFonts w:eastAsia="Noto Sans Symbols" w:cs="Noto Sans Symbols"/>
    </w:rPr>
  </w:style>
  <w:style w:type="character" w:styleId="ListLabel16">
    <w:name w:val="ListLabel 16"/>
    <w:qFormat/>
    <w:rPr>
      <w:rFonts w:eastAsia="Noto Sans Symbols" w:cs="Noto Sans Symbols"/>
    </w:rPr>
  </w:style>
  <w:style w:type="character" w:styleId="ListLabel17">
    <w:name w:val="ListLabel 17"/>
    <w:qFormat/>
    <w:rPr>
      <w:rFonts w:eastAsia="Courier New" w:cs="Courier New"/>
    </w:rPr>
  </w:style>
  <w:style w:type="character" w:styleId="ListLabel18">
    <w:name w:val="ListLabel 18"/>
    <w:qFormat/>
    <w:rPr>
      <w:rFonts w:eastAsia="Noto Sans Symbols" w:cs="Noto Sans Symbols"/>
    </w:rPr>
  </w:style>
  <w:style w:type="character" w:styleId="ListLabel19">
    <w:name w:val="ListLabel 19"/>
    <w:qFormat/>
    <w:rPr>
      <w:rFonts w:eastAsia="Noto Sans Symbols" w:cs="Noto Sans Symbols"/>
    </w:rPr>
  </w:style>
  <w:style w:type="character" w:styleId="ListLabel20">
    <w:name w:val="ListLabel 20"/>
    <w:qFormat/>
    <w:rPr>
      <w:rFonts w:eastAsia="Courier New" w:cs="Courier New"/>
    </w:rPr>
  </w:style>
  <w:style w:type="character" w:styleId="ListLabel21">
    <w:name w:val="ListLabel 21"/>
    <w:qFormat/>
    <w:rPr>
      <w:rFonts w:eastAsia="Noto Sans Symbols" w:cs="Noto Sans Symbols"/>
    </w:rPr>
  </w:style>
  <w:style w:type="character" w:styleId="ListLabel22">
    <w:name w:val="ListLabel 22"/>
    <w:qFormat/>
    <w:rPr>
      <w:rFonts w:eastAsia="Noto Sans Symbols" w:cs="Noto Sans Symbols"/>
    </w:rPr>
  </w:style>
  <w:style w:type="character" w:styleId="ListLabel23">
    <w:name w:val="ListLabel 23"/>
    <w:qFormat/>
    <w:rPr>
      <w:rFonts w:eastAsia="Courier New" w:cs="Courier New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Noto Sans Symbols" w:cs="Noto Sans Symbols"/>
    </w:rPr>
  </w:style>
  <w:style w:type="character" w:styleId="ListLabel26">
    <w:name w:val="ListLabel 26"/>
    <w:qFormat/>
    <w:rPr>
      <w:rFonts w:eastAsia="Courier New" w:cs="Courier New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Noto Sans Symbols" w:cs="Noto Sans Symbols"/>
    </w:rPr>
  </w:style>
  <w:style w:type="character" w:styleId="ListLabel29">
    <w:name w:val="ListLabel 29"/>
    <w:qFormat/>
    <w:rPr>
      <w:rFonts w:eastAsia="Courier New" w:cs="Courier New"/>
    </w:rPr>
  </w:style>
  <w:style w:type="character" w:styleId="ListLabel30">
    <w:name w:val="ListLabel 30"/>
    <w:qFormat/>
    <w:rPr>
      <w:rFonts w:eastAsia="Noto Sans Symbols" w:cs="Noto Sans Symbols"/>
    </w:rPr>
  </w:style>
  <w:style w:type="character" w:styleId="ListLabel31">
    <w:name w:val="ListLabel 31"/>
    <w:qFormat/>
    <w:rPr>
      <w:rFonts w:eastAsia="Noto Sans Symbols" w:cs="Noto Sans Symbols"/>
    </w:rPr>
  </w:style>
  <w:style w:type="character" w:styleId="ListLabel32">
    <w:name w:val="ListLabel 32"/>
    <w:qFormat/>
    <w:rPr>
      <w:rFonts w:eastAsia="Courier New" w:cs="Courier New"/>
    </w:rPr>
  </w:style>
  <w:style w:type="character" w:styleId="ListLabel33">
    <w:name w:val="ListLabel 33"/>
    <w:qFormat/>
    <w:rPr>
      <w:rFonts w:eastAsia="Noto Sans Symbols" w:cs="Noto Sans Symbols"/>
    </w:rPr>
  </w:style>
  <w:style w:type="character" w:styleId="ListLabel34">
    <w:name w:val="ListLabel 34"/>
    <w:qFormat/>
    <w:rPr>
      <w:rFonts w:eastAsia="Noto Sans Symbols" w:cs="Noto Sans Symbols"/>
    </w:rPr>
  </w:style>
  <w:style w:type="character" w:styleId="ListLabel35">
    <w:name w:val="ListLabel 35"/>
    <w:qFormat/>
    <w:rPr>
      <w:rFonts w:eastAsia="Courier New" w:cs="Courier New"/>
    </w:rPr>
  </w:style>
  <w:style w:type="character" w:styleId="ListLabel36">
    <w:name w:val="ListLabel 36"/>
    <w:qFormat/>
    <w:rPr>
      <w:rFonts w:eastAsia="Noto Sans Symbols" w:cs="Noto Sans Symbols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sz w:val="20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sz w:val="20"/>
    </w:rPr>
  </w:style>
  <w:style w:type="character" w:styleId="ListLabel110">
    <w:name w:val="ListLabel 110"/>
    <w:qFormat/>
    <w:rPr>
      <w:sz w:val="20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Style14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a6247"/>
    <w:pPr>
      <w:widowControl/>
      <w:spacing w:lineRule="auto" w:line="276" w:before="0" w:after="200"/>
      <w:ind w:left="720" w:hanging="0"/>
      <w:contextualSpacing/>
    </w:pPr>
    <w:rPr>
      <w:rFonts w:ascii="Cambria" w:hAnsi="Cambria" w:eastAsia="Cambria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3660a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Neat_Office/6.2.8.2$Windows_x86 LibreOffice_project/</Application>
  <Pages>2</Pages>
  <Words>510</Words>
  <Characters>3716</Characters>
  <CharactersWithSpaces>4198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2022-11-24T09:25:00Z</dcterms:created>
  <dc:creator>Elina</dc:creator>
  <dc:description/>
  <dc:language>ru-RU</dc:language>
  <cp:lastModifiedBy>79003043292</cp:lastModifiedBy>
  <dcterms:modified xsi:type="dcterms:W3CDTF">2022-11-24T09:25:00Z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