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55B2A" w14:textId="7CBE2099" w:rsidR="00311086" w:rsidRDefault="00B74AC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Современные методические материалы для организации развивающих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игровых  практик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 с детьми дошкольного возраста, применяемые педагогами.</w:t>
      </w:r>
    </w:p>
    <w:p w14:paraId="04F74E1A" w14:textId="77777777" w:rsidR="00311086" w:rsidRPr="00B74ACA" w:rsidRDefault="00B74ACA" w:rsidP="002C3A45">
      <w:pPr>
        <w:pStyle w:val="a5"/>
        <w:spacing w:before="90" w:beforeAutospacing="0" w:after="9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74ACA">
        <w:rPr>
          <w:color w:val="000000" w:themeColor="text1"/>
          <w:sz w:val="28"/>
          <w:szCs w:val="28"/>
          <w:lang w:val="ru-RU"/>
        </w:rPr>
        <w:t xml:space="preserve">В современном мире всестороннее развитие детей невозможно без 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и</w:t>
      </w:r>
      <w:r w:rsidRPr="00B74ACA">
        <w:rPr>
          <w:color w:val="000000" w:themeColor="text1"/>
          <w:sz w:val="28"/>
          <w:szCs w:val="28"/>
          <w:shd w:val="clear" w:color="auto" w:fill="FFFFFF" w:themeFill="background1"/>
          <w:lang w:val="ru-RU"/>
        </w:rPr>
        <w:t>спользования современных обра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зовательных технологий. Учитывая, что ведущей деятельностью ребенка дошкольного возраста является игра, мы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в своей работе используем 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основные современные игровые технологии. Благодаря использованию развивающих игр, процесс образования дошкольника проходит в доступной и привлекательной форме, создаются условия для развития интеллектуально - творческого потенциала ребенка.</w:t>
      </w:r>
    </w:p>
    <w:p w14:paraId="1E7BE7E1" w14:textId="608F033C" w:rsidR="00311086" w:rsidRPr="00B74ACA" w:rsidRDefault="00B74ACA" w:rsidP="00B74ACA">
      <w:pPr>
        <w:pStyle w:val="a5"/>
        <w:spacing w:before="90" w:beforeAutospacing="0" w:after="9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B74ACA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Целевые ориентации игровых технологий: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Дидактические:</w:t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расширение кругозора, познавательная деятельность, формирование определённых умений и навыков, развитие трудовых навыков.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Воспитывающие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: воспитание самостоятельности, воли, сотрудничества, коллективизма,</w:t>
      </w:r>
      <w:r w:rsidR="001174B8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коммуникативности.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Развивающие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: развитие внимания, памяти, речи, мышления, умения сравнивать, сопоставлять, находить аналогии, воображения, фантазии, творческих способностей, развитие мотивации учебной деятельности.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Социализирующие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: приобщение к нормам и ценностям общества, адаптация к условиям среды, саморегуляция.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</w:p>
    <w:p w14:paraId="127B7191" w14:textId="77777777" w:rsidR="00311086" w:rsidRDefault="00B74ACA">
      <w:pPr>
        <w:pStyle w:val="a5"/>
        <w:spacing w:before="90" w:beforeAutospacing="0" w:after="90" w:afterAutospacing="0"/>
        <w:rPr>
          <w:color w:val="000000" w:themeColor="text1"/>
          <w:sz w:val="28"/>
          <w:szCs w:val="28"/>
          <w:shd w:val="clear" w:color="auto" w:fill="F4F4F4"/>
          <w:lang w:val="ru-RU"/>
        </w:rPr>
      </w:pPr>
      <w:r w:rsidRPr="00B74ACA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Значение игровой технологии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14:paraId="24C07E73" w14:textId="77777777" w:rsidR="002C3A45" w:rsidRPr="00B74ACA" w:rsidRDefault="002C3A45">
      <w:pPr>
        <w:pStyle w:val="a5"/>
        <w:spacing w:before="90" w:beforeAutospacing="0" w:after="90" w:afterAutospacing="0"/>
        <w:rPr>
          <w:color w:val="000000" w:themeColor="text1"/>
          <w:sz w:val="28"/>
          <w:szCs w:val="28"/>
          <w:shd w:val="clear" w:color="auto" w:fill="F4F4F4"/>
          <w:lang w:val="ru-RU"/>
        </w:rPr>
      </w:pPr>
    </w:p>
    <w:p w14:paraId="07BFD327" w14:textId="77777777" w:rsidR="00311086" w:rsidRDefault="00B74ACA">
      <w:pPr>
        <w:pStyle w:val="a5"/>
        <w:spacing w:before="90" w:beforeAutospacing="0" w:after="9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</w:pPr>
      <w:r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«</w:t>
      </w:r>
      <w:proofErr w:type="spellStart"/>
      <w:r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Пескотерапия</w:t>
      </w:r>
      <w:proofErr w:type="spellEnd"/>
      <w:r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»</w:t>
      </w:r>
    </w:p>
    <w:p w14:paraId="65143CAF" w14:textId="77777777" w:rsidR="00311086" w:rsidRDefault="00311086">
      <w:pPr>
        <w:pStyle w:val="a5"/>
        <w:spacing w:before="90" w:beforeAutospacing="0" w:after="9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</w:pPr>
    </w:p>
    <w:p w14:paraId="5468E448" w14:textId="77777777" w:rsidR="00311086" w:rsidRDefault="00063FCF">
      <w:pPr>
        <w:pStyle w:val="a5"/>
        <w:spacing w:before="90" w:beforeAutospacing="0" w:after="90" w:afterAutospacing="0"/>
        <w:jc w:val="center"/>
        <w:rPr>
          <w:color w:val="000000" w:themeColor="text1"/>
          <w:sz w:val="28"/>
          <w:szCs w:val="28"/>
          <w:shd w:val="clear" w:color="auto" w:fill="F4F4F4"/>
          <w:lang w:val="ru-RU"/>
        </w:rPr>
      </w:pPr>
      <w:r>
        <w:rPr>
          <w:noProof/>
          <w:color w:val="000000" w:themeColor="text1"/>
          <w:sz w:val="28"/>
          <w:szCs w:val="28"/>
          <w:shd w:val="clear" w:color="auto" w:fill="F4F4F4"/>
          <w:lang w:val="ru-RU" w:eastAsia="ru-RU"/>
        </w:rPr>
        <w:drawing>
          <wp:inline distT="0" distB="0" distL="0" distR="0" wp14:anchorId="67B71FBF" wp14:editId="7749C97C">
            <wp:extent cx="2527729" cy="2408977"/>
            <wp:effectExtent l="19050" t="0" r="5921" b="0"/>
            <wp:docPr id="1" name="Рисунок 1" descr="C:\Users\Зернышко\Desktop\VzTAk43jA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нышко\Desktop\VzTAk43jA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58" cy="241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A8EC6" w14:textId="77777777" w:rsidR="002C3A45" w:rsidRPr="002C3A45" w:rsidRDefault="002C3A45" w:rsidP="002C3A45">
      <w:pPr>
        <w:pStyle w:val="a5"/>
        <w:tabs>
          <w:tab w:val="left" w:pos="420"/>
        </w:tabs>
        <w:spacing w:before="90" w:beforeAutospacing="0" w:after="90" w:afterAutospacing="0"/>
        <w:ind w:left="420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</w:p>
    <w:p w14:paraId="4B141BFE" w14:textId="77777777" w:rsidR="00311086" w:rsidRPr="00063FCF" w:rsidRDefault="00B74ACA" w:rsidP="00B74ACA">
      <w:pPr>
        <w:pStyle w:val="a5"/>
        <w:numPr>
          <w:ilvl w:val="0"/>
          <w:numId w:val="1"/>
        </w:numPr>
        <w:tabs>
          <w:tab w:val="clear" w:pos="420"/>
        </w:tabs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B74ACA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Игры с песком</w:t>
      </w:r>
      <w:r>
        <w:rPr>
          <w:color w:val="000000" w:themeColor="text1"/>
          <w:sz w:val="28"/>
          <w:szCs w:val="28"/>
          <w:shd w:val="clear" w:color="auto" w:fill="F4F4F4"/>
        </w:rPr>
        <w:t> 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развивают восприятие, мышление, памяти, внимания, речи, навыков самоконтроля и саморегуляции, творческого мышления, воображения и фантазии; формируют у ребенка представления об окружающем мире; 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развивают мелкую моторику, глазомер; успокаивают и расслабляют, снимая напряжение. Процесс обучения дошкольника очень труден, ребенок быстро утомляется, столкнувшись со сложной задачей, но, как мы убедились на практике, именно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песок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позволяет дольше сохранить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работоспособность ребенка, ведь на песке даже трудные задачи 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lastRenderedPageBreak/>
        <w:t>решаются легче. Воспитывают чувство успешности и уверенности в себе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(вот как я могу)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. Помогают познавать внешний и свой внутренний мир. Ребёнок является хозяином в ящике с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песком и, переживая это чувство, он становится внутренне сильнее, потому что может изменять свои картинки, сюжеты, отношения и настроения.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>Именно в песочнице создается дополнительный акцент на тактильную чувствительность,</w:t>
      </w:r>
      <w:r>
        <w:rPr>
          <w:color w:val="000000" w:themeColor="text1"/>
          <w:sz w:val="28"/>
          <w:szCs w:val="28"/>
          <w:shd w:val="clear" w:color="auto" w:fill="F4F4F4"/>
        </w:rPr>
        <w:t> </w:t>
      </w:r>
      <w:r w:rsidRPr="00B74ACA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развивается «мануальный интеллект» ребенка. Песок обладает замечательным свойством «заземлять» негативную психическую энергию, то в процессе образовательной работы происходит и гармонизация психоэмоционального состояния ребенка.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Использование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песочницы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даёт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комплексный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образовательно-терапевтический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4F4F4"/>
        </w:rPr>
        <w:t>эффект</w:t>
      </w:r>
      <w:proofErr w:type="spellEnd"/>
      <w:r>
        <w:rPr>
          <w:color w:val="000000" w:themeColor="text1"/>
          <w:sz w:val="28"/>
          <w:szCs w:val="28"/>
          <w:shd w:val="clear" w:color="auto" w:fill="F4F4F4"/>
        </w:rPr>
        <w:t>.</w:t>
      </w:r>
    </w:p>
    <w:p w14:paraId="5D82C5D9" w14:textId="77777777"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Здоровьесберегающие</w:t>
      </w:r>
      <w:proofErr w:type="spellEnd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</w:t>
      </w:r>
      <w:proofErr w:type="spellStart"/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</w:t>
      </w:r>
      <w:proofErr w:type="spellEnd"/>
    </w:p>
    <w:p w14:paraId="7CED0938" w14:textId="77777777"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2C879F0F" w14:textId="77777777"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Здоровьесберегающие технологии это один из видов современных инновационных технологий, которые направлены</w:t>
      </w:r>
      <w:r w:rsidRPr="002116FD">
        <w:rPr>
          <w:rFonts w:ascii="Calibri" w:eastAsia="Times New Roman" w:hAnsi="Calibri" w:cs="Times New Roman"/>
          <w:color w:val="000000"/>
          <w:lang w:val="ru-RU" w:eastAsia="ru-RU"/>
        </w:rPr>
        <w:t xml:space="preserve"> 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 сохранение и улучшение здоровья всех участников образовательного процесса в ДОУ.</w:t>
      </w:r>
    </w:p>
    <w:p w14:paraId="69EDC3B6" w14:textId="77777777"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Использование таких технологий имеет двустороннюю направленность:</w:t>
      </w:r>
    </w:p>
    <w:p w14:paraId="6179FEF9" w14:textId="77777777" w:rsidR="002116FD" w:rsidRPr="002C3A45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формирование у дошкольников основ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валеологической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культуры, т.е. научить их самостоятельно заботиться о своем здоровье;</w:t>
      </w:r>
    </w:p>
    <w:p w14:paraId="203778D7" w14:textId="77777777" w:rsidR="002116FD" w:rsidRPr="002C3A45" w:rsidRDefault="002116FD" w:rsidP="002C3A45">
      <w:pPr>
        <w:ind w:left="567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 организация образовательного процесса в детском саду без негативного влияния на здоровье детей.</w:t>
      </w:r>
    </w:p>
    <w:p w14:paraId="0B23968B" w14:textId="77777777" w:rsidR="002116FD" w:rsidRPr="002116FD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Для обеспечения комплексного подхода к охране и улучшению здоровья воспитанников в нашем ДОУ используются различные виды современных здоровьесберегающих технологий:</w:t>
      </w:r>
    </w:p>
    <w:p w14:paraId="6F52FC14" w14:textId="77777777" w:rsidR="002116FD" w:rsidRPr="002116FD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14:paraId="5D9D8433" w14:textId="77777777" w:rsidR="002116FD" w:rsidRPr="002116FD" w:rsidRDefault="002116FD" w:rsidP="002C3A45">
      <w:pPr>
        <w:pStyle w:val="a8"/>
        <w:ind w:left="420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 медико-профилактические (проведение медосмотров, контроль состояния здоровья детей, противоэпидемиологическая работа, профилактика многих заболеваний, санитарно-гигиеническая работа, контроль качества организации питания и т.д.);</w:t>
      </w:r>
    </w:p>
    <w:p w14:paraId="7EE578F5" w14:textId="77777777" w:rsidR="002116FD" w:rsidRPr="002116FD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14:paraId="445E4671" w14:textId="77777777" w:rsidR="002116FD" w:rsidRPr="002C3A45" w:rsidRDefault="002116FD" w:rsidP="002C3A45">
      <w:pPr>
        <w:tabs>
          <w:tab w:val="left" w:pos="142"/>
        </w:tabs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физкультурно-оздоровительные (проведение подвижных игр, спортивные мероприятия,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валеологические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занятия, процедуры закаливания, организация прогулок и т.д.)</w:t>
      </w:r>
    </w:p>
    <w:p w14:paraId="6FC12534" w14:textId="77777777" w:rsidR="002116FD" w:rsidRPr="002C3A45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14:paraId="5FBD3905" w14:textId="77777777" w:rsidR="002116FD" w:rsidRPr="002C3A45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валеологической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культуры);</w:t>
      </w:r>
    </w:p>
    <w:p w14:paraId="79415BD7" w14:textId="77777777" w:rsidR="002116FD" w:rsidRPr="002C3A45" w:rsidRDefault="002116FD" w:rsidP="002C3A45">
      <w:pPr>
        <w:ind w:left="567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14:paraId="5B6D3DF1" w14:textId="77777777" w:rsidR="002116FD" w:rsidRPr="002C3A45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валеологическое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просвещение педагогов (ознакомление воспитателей с инновационными здоровьесберегающими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14:paraId="08EE23B1" w14:textId="77777777" w:rsidR="002116FD" w:rsidRPr="002116FD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14:paraId="32DBE850" w14:textId="77777777" w:rsidR="002116FD" w:rsidRPr="002C3A45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здоровьесберегающее образование детей (формирование </w:t>
      </w:r>
      <w:proofErr w:type="spellStart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валеологических</w:t>
      </w:r>
      <w:proofErr w:type="spellEnd"/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знаний и навыков).</w:t>
      </w:r>
    </w:p>
    <w:p w14:paraId="396C0294" w14:textId="77777777" w:rsidR="002116FD" w:rsidRPr="002C3A45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14:paraId="7FABC679" w14:textId="77777777" w:rsidR="002116FD" w:rsidRDefault="002116FD" w:rsidP="002C3A45">
      <w:pPr>
        <w:pStyle w:val="a8"/>
        <w:tabs>
          <w:tab w:val="left" w:pos="420"/>
        </w:tabs>
        <w:ind w:left="420" w:firstLine="42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Только реализуя все указанные виды здоровьесберегающих технологий можно достигнуть тесного взаимодействия основных факторов, влияющих на здоровье дошкольников.</w:t>
      </w:r>
    </w:p>
    <w:p w14:paraId="7BEA0092" w14:textId="77777777" w:rsidR="002C3A45" w:rsidRPr="002116FD" w:rsidRDefault="002C3A45" w:rsidP="002C3A45">
      <w:pPr>
        <w:pStyle w:val="a8"/>
        <w:tabs>
          <w:tab w:val="left" w:pos="420"/>
        </w:tabs>
        <w:ind w:left="420" w:firstLine="42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14:paraId="5B24E18A" w14:textId="77777777" w:rsidR="002116FD" w:rsidRPr="002C3A45" w:rsidRDefault="002116FD" w:rsidP="002C3A45">
      <w:pPr>
        <w:ind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eastAsia="Times New Roman"/>
          <w:noProof/>
          <w:lang w:val="ru-RU" w:eastAsia="ru-RU"/>
        </w:rPr>
        <w:lastRenderedPageBreak/>
        <w:drawing>
          <wp:inline distT="0" distB="0" distL="0" distR="0" wp14:anchorId="64C397D9" wp14:editId="3EA55F23">
            <wp:extent cx="4168346" cy="2837785"/>
            <wp:effectExtent l="19050" t="0" r="3604" b="0"/>
            <wp:docPr id="3" name="Рисунок 2" descr="C:\Users\Зернышко\Desktop\hn9nvmg3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нышко\Desktop\hn9nvmg3lJ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245" cy="283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ED58C1" w14:textId="77777777" w:rsidR="002116FD" w:rsidRPr="002C3A45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14:paraId="1C72B3FD" w14:textId="77777777" w:rsidR="002116FD" w:rsidRPr="001174B8" w:rsidRDefault="002116FD" w:rsidP="002116FD">
      <w:pPr>
        <w:ind w:left="850"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1174B8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Информационно-коммуникационные технологии (ИКТ)</w:t>
      </w:r>
    </w:p>
    <w:p w14:paraId="776FBC82" w14:textId="77777777" w:rsidR="002116FD" w:rsidRPr="002116FD" w:rsidRDefault="002116FD" w:rsidP="002116FD">
      <w:pPr>
        <w:ind w:left="850" w:right="2" w:firstLine="708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Информационно-коммуникационные технологии в дошкольном образовании – это комплекс учебно-</w:t>
      </w:r>
      <w:proofErr w:type="gram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методических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материалов</w:t>
      </w:r>
      <w:proofErr w:type="gram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, технических и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инструментальных средств вычислительной техники в учебном процессе, формы и методы их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применения для совершенствования деятельности специалистов учреждения (администрации, воспитателей, логопедов и других специалистов), а также для образования, развития и воспитания детей.</w:t>
      </w:r>
    </w:p>
    <w:p w14:paraId="149FD1FF" w14:textId="77777777" w:rsidR="002116FD" w:rsidRPr="002116FD" w:rsidRDefault="002116FD" w:rsidP="002116FD">
      <w:pPr>
        <w:ind w:left="850" w:right="2" w:firstLine="35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Через 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активное внедрение в воспитательно-образовательный процесс информационных технологий </w:t>
      </w: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в нашем саду п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овышается  качество образования.</w:t>
      </w:r>
    </w:p>
    <w:p w14:paraId="5247E666" w14:textId="77777777" w:rsidR="002116FD" w:rsidRPr="002116FD" w:rsidRDefault="002116FD" w:rsidP="002C3A45">
      <w:pPr>
        <w:ind w:left="850" w:right="2" w:firstLine="35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Каждый педагог нашего детского сада занимается:</w:t>
      </w:r>
    </w:p>
    <w:p w14:paraId="2B5EAAD3" w14:textId="77777777" w:rsidR="002116FD" w:rsidRPr="002116FD" w:rsidRDefault="002116FD" w:rsidP="002C3A45">
      <w:pPr>
        <w:numPr>
          <w:ilvl w:val="0"/>
          <w:numId w:val="3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Подбором иллюстративного материала к занятиям и для оформления стендов, группы;</w:t>
      </w:r>
    </w:p>
    <w:p w14:paraId="69CC3D56" w14:textId="77777777" w:rsidR="002116FD" w:rsidRPr="002116FD" w:rsidRDefault="002116FD" w:rsidP="002C3A45">
      <w:pPr>
        <w:numPr>
          <w:ilvl w:val="0"/>
          <w:numId w:val="4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Подбором дополнительного познавательного материала к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занятиям;</w:t>
      </w:r>
    </w:p>
    <w:p w14:paraId="5B5A0088" w14:textId="77777777" w:rsidR="002116FD" w:rsidRPr="002116FD" w:rsidRDefault="002116FD" w:rsidP="002C3A45">
      <w:pPr>
        <w:numPr>
          <w:ilvl w:val="0"/>
          <w:numId w:val="4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Обмен опытом, знакомство с периодикой, наработками и идеями других педагогов России и других стран;</w:t>
      </w:r>
    </w:p>
    <w:p w14:paraId="26D337A7" w14:textId="77777777" w:rsidR="002116FD" w:rsidRDefault="002116FD" w:rsidP="002C3A45">
      <w:pPr>
        <w:numPr>
          <w:ilvl w:val="0"/>
          <w:numId w:val="4"/>
        </w:numPr>
        <w:spacing w:before="100" w:beforeAutospacing="1"/>
        <w:ind w:left="850" w:right="2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Оформлением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документации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отчётов</w:t>
      </w:r>
      <w:proofErr w:type="spellEnd"/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00AB7C5" w14:textId="77777777" w:rsidR="002116FD" w:rsidRPr="002116FD" w:rsidRDefault="002116FD" w:rsidP="002C3A45">
      <w:pPr>
        <w:numPr>
          <w:ilvl w:val="0"/>
          <w:numId w:val="4"/>
        </w:numPr>
        <w:spacing w:before="100" w:beforeAutospacing="1"/>
        <w:ind w:left="850" w:right="2" w:firstLine="284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Созданием презентаций</w:t>
      </w:r>
      <w:r w:rsidRPr="0019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повышения эффективности образовательных занятий с детьми; проведения родительских собраний или консультаций специалистов</w:t>
      </w:r>
      <w:r w:rsidRPr="007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родителей;</w:t>
      </w:r>
    </w:p>
    <w:p w14:paraId="0638B997" w14:textId="77777777" w:rsidR="002116FD" w:rsidRPr="002116FD" w:rsidRDefault="002116FD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7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Используют видеокамеры и соответствующие программы для создания незамысловатых фильмов для детей и родителей. Так педагог 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Смеречук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Т.Я. совместно с воспитанниками своей группы создали видеофильм инсценировки сказки «</w:t>
      </w:r>
      <w:proofErr w:type="spell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Заюшкина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избушка», который потом смогли посмотреть и </w:t>
      </w:r>
      <w:proofErr w:type="gramStart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родители  и</w:t>
      </w:r>
      <w:proofErr w:type="gram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воспитанники других групп.</w:t>
      </w:r>
    </w:p>
    <w:p w14:paraId="49349219" w14:textId="77777777" w:rsidR="002116FD" w:rsidRPr="002116FD" w:rsidRDefault="002116FD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711EAC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Оформлением буклетов, визитных карточек учреждения, материалов</w:t>
      </w:r>
      <w:r w:rsidRPr="00BD0C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 различным направлениям деятельности;</w:t>
      </w:r>
    </w:p>
    <w:p w14:paraId="00D5A46C" w14:textId="77777777" w:rsidR="002116FD" w:rsidRPr="002116FD" w:rsidRDefault="002116FD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Используют электронную почту, ведется сайт ДОУ, персональные сайты педагогов, социальные страницы детского сада, созданы родительские  группы в мессенджерах. </w:t>
      </w:r>
    </w:p>
    <w:p w14:paraId="1F1186D2" w14:textId="77777777" w:rsidR="002C3A45" w:rsidRDefault="002C3A45" w:rsidP="002C3A45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rPr>
          <w:rFonts w:ascii="Calibri" w:eastAsia="Times New Roman" w:hAnsi="Calibri" w:cs="Times New Roman"/>
          <w:color w:val="000000"/>
          <w:lang w:val="ru-RU" w:eastAsia="ru-RU"/>
        </w:rPr>
        <w:sectPr w:rsidR="002C3A45" w:rsidSect="00ED5A63">
          <w:pgSz w:w="11906" w:h="16838"/>
          <w:pgMar w:top="640" w:right="906" w:bottom="0" w:left="1200" w:header="720" w:footer="720" w:gutter="0"/>
          <w:cols w:space="720"/>
          <w:docGrid w:linePitch="360"/>
        </w:sectPr>
      </w:pPr>
    </w:p>
    <w:p w14:paraId="7E6DF9FB" w14:textId="77777777" w:rsidR="002116FD" w:rsidRDefault="002116FD" w:rsidP="002C3A45">
      <w:pPr>
        <w:spacing w:before="100" w:beforeAutospacing="1" w:after="100" w:afterAutospacing="1"/>
        <w:ind w:left="1134" w:right="2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val="ru-RU" w:eastAsia="ru-RU"/>
        </w:rPr>
        <w:lastRenderedPageBreak/>
        <w:drawing>
          <wp:inline distT="0" distB="0" distL="0" distR="0" wp14:anchorId="693F8C7E" wp14:editId="45FDA241">
            <wp:extent cx="2485253" cy="2620833"/>
            <wp:effectExtent l="19050" t="0" r="0" b="0"/>
            <wp:docPr id="4" name="Рисунок 3" descr="C:\Users\Зернышко\Desktop\kdUSBbvVH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нышко\Desktop\kdUSBbvVHH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91" cy="262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C19C4" w14:textId="77777777" w:rsidR="002116FD" w:rsidRPr="002116FD" w:rsidRDefault="002116FD" w:rsidP="002C3A45">
      <w:pPr>
        <w:spacing w:before="100" w:beforeAutospacing="1" w:after="100" w:afterAutospacing="1"/>
        <w:ind w:left="1134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Calibri" w:eastAsia="Times New Roman" w:hAnsi="Calibri" w:cs="Times New Roman"/>
          <w:noProof/>
          <w:color w:val="000000"/>
          <w:lang w:val="ru-RU" w:eastAsia="ru-RU"/>
        </w:rPr>
        <w:drawing>
          <wp:inline distT="0" distB="0" distL="0" distR="0" wp14:anchorId="2E466158" wp14:editId="5D113C9E">
            <wp:extent cx="1974013" cy="2630202"/>
            <wp:effectExtent l="19050" t="0" r="7187" b="0"/>
            <wp:docPr id="6" name="Рисунок 5" descr="C:\Users\Зернышко\Desktop\x-6svLrb_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нышко\Desktop\x-6svLrb_y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965" cy="263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554F0" w14:textId="77777777" w:rsidR="002C3A45" w:rsidRDefault="002C3A45" w:rsidP="002116FD">
      <w:pPr>
        <w:pStyle w:val="a8"/>
        <w:numPr>
          <w:ilvl w:val="0"/>
          <w:numId w:val="4"/>
        </w:numPr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2C3A45" w:rsidSect="00ED5A63">
          <w:type w:val="continuous"/>
          <w:pgSz w:w="11906" w:h="16838"/>
          <w:pgMar w:top="640" w:right="906" w:bottom="0" w:left="1200" w:header="720" w:footer="720" w:gutter="0"/>
          <w:cols w:num="2" w:space="720"/>
          <w:docGrid w:linePitch="360"/>
        </w:sectPr>
      </w:pPr>
    </w:p>
    <w:p w14:paraId="766841C4" w14:textId="77777777" w:rsidR="002C3A45" w:rsidRDefault="002C3A45" w:rsidP="002C3A45">
      <w:pPr>
        <w:pStyle w:val="a8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</w:p>
    <w:p w14:paraId="18B00074" w14:textId="77777777" w:rsidR="002116FD" w:rsidRPr="002C3A45" w:rsidRDefault="002116FD" w:rsidP="002C3A45">
      <w:pPr>
        <w:pStyle w:val="a8"/>
        <w:ind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Игровая технология</w:t>
      </w:r>
    </w:p>
    <w:p w14:paraId="330E2C8C" w14:textId="77777777" w:rsidR="002116FD" w:rsidRPr="002116FD" w:rsidRDefault="002116FD" w:rsidP="002C3A45">
      <w:pPr>
        <w:pStyle w:val="a8"/>
        <w:shd w:val="clear" w:color="auto" w:fill="FFFFFF"/>
        <w:ind w:firstLine="709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14:paraId="41CFB87F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/>
        </w:rPr>
        <w:t>В практике нашей работы игровая деятельность выполняет такие функции:</w:t>
      </w:r>
    </w:p>
    <w:p w14:paraId="58E5BE78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социокультурную: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синтез усвоения богатства культуры, потенций воспитания и формирование ребенка как личности</w:t>
      </w:r>
    </w:p>
    <w:p w14:paraId="00C8F5BD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коммуникативную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моделирование разных жизненных ситуаций, поиск выхода из конфликтов</w:t>
      </w:r>
    </w:p>
    <w:p w14:paraId="3887F59A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самореализации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сфера реализации себя как личности</w:t>
      </w:r>
    </w:p>
    <w:p w14:paraId="52E5F9A6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межнациональной коммуникации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усвоение единых для всех людей социально-культурных ценностей;</w:t>
      </w:r>
    </w:p>
    <w:p w14:paraId="5BA73F67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диагностическую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выявление отклонений от нормативного поведения, самопознание в процессе игры;</w:t>
      </w:r>
    </w:p>
    <w:p w14:paraId="3A38340D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spellStart"/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игротерапевтическую</w:t>
      </w:r>
      <w:proofErr w:type="spellEnd"/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преодоление различных трудностей, возникающих в других видах жизнедеятельности;</w:t>
      </w:r>
    </w:p>
    <w:p w14:paraId="1931A434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функцию коррекции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внесение позитивных изменений в структуру личностных показателей;</w:t>
      </w:r>
    </w:p>
    <w:p w14:paraId="20750B53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развлекательную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создание определенного комфорта благоприятной атмосферы.</w:t>
      </w:r>
    </w:p>
    <w:p w14:paraId="45403DFA" w14:textId="77777777" w:rsidR="002116FD" w:rsidRPr="002C3A45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C3A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/>
        </w:rPr>
        <w:t>Большинству игр присущи черты:</w:t>
      </w:r>
    </w:p>
    <w:p w14:paraId="4C967CF5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 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результата;</w:t>
      </w:r>
    </w:p>
    <w:p w14:paraId="44449460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 наличие прямых или косвенных правил, отражающих содержание игры, логическую и временную последовательность ее развития;</w:t>
      </w:r>
    </w:p>
    <w:p w14:paraId="15FD0AC2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•эмоциональная приподнятость деятельности, соперничество, состязательность, конкуренция, аттракция и т.п.</w:t>
      </w:r>
    </w:p>
    <w:p w14:paraId="27926CD3" w14:textId="77777777" w:rsidR="002116FD" w:rsidRPr="002116FD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Мотивация игровой деятельности обеспечивается ее добровольностью, возможностями выбора и элементами соревновательности, удовлетворения потребности в самоутверждении, самореализации.</w:t>
      </w:r>
    </w:p>
    <w:p w14:paraId="3765A4E8" w14:textId="77777777" w:rsidR="002116FD" w:rsidRPr="002116FD" w:rsidRDefault="002116FD" w:rsidP="002C3A45">
      <w:pPr>
        <w:pStyle w:val="a8"/>
        <w:shd w:val="clear" w:color="auto" w:fill="FFFFFF"/>
        <w:ind w:right="2" w:firstLine="698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2116FD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  <w:t>Значение игры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невозможно исчерпать и оценить развлекательно-креативными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14:paraId="51743258" w14:textId="77777777" w:rsidR="002116FD" w:rsidRPr="002116FD" w:rsidRDefault="002116FD" w:rsidP="002C3A45">
      <w:pPr>
        <w:pStyle w:val="a8"/>
        <w:shd w:val="clear" w:color="auto" w:fill="FFFFFF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>Понятие «</w:t>
      </w:r>
      <w:r w:rsidRPr="002116FD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  <w:t>игровые педагогические технологии</w:t>
      </w: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14:paraId="71BC408B" w14:textId="77777777" w:rsidR="002C3A45" w:rsidRPr="002C3A45" w:rsidRDefault="002116FD" w:rsidP="002C3A45">
      <w:pPr>
        <w:pStyle w:val="a8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2116F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14:paraId="5E0507E2" w14:textId="77777777" w:rsidR="002C3A45" w:rsidRPr="002C3A45" w:rsidRDefault="002116FD" w:rsidP="002C3A45">
      <w:pPr>
        <w:pStyle w:val="a8"/>
        <w:ind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Каждый педагог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 состоянии. </w:t>
      </w:r>
      <w:r w:rsidRPr="001174B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Все в наших руках, поэтому их нельзя опускать.</w:t>
      </w:r>
    </w:p>
    <w:p w14:paraId="020C5ED1" w14:textId="77777777" w:rsidR="002C3A45" w:rsidRPr="002C3A45" w:rsidRDefault="002C3A45" w:rsidP="002C3A45">
      <w:pPr>
        <w:ind w:left="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A45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Человек не может по- настоящему усовершенствоваться, если не помогает усовершенствоваться другим. (Чарльз Диккенс)</w:t>
      </w:r>
    </w:p>
    <w:p w14:paraId="2F9E391D" w14:textId="77777777" w:rsidR="002C3A45" w:rsidRPr="002C3A45" w:rsidRDefault="002C3A45" w:rsidP="002C3A45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01E86C" w14:textId="77777777" w:rsidR="002116FD" w:rsidRPr="002C3A45" w:rsidRDefault="002116FD" w:rsidP="002C3A45">
      <w:pPr>
        <w:pStyle w:val="a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val="ru-RU" w:eastAsia="ru-RU"/>
        </w:rPr>
        <w:drawing>
          <wp:inline distT="0" distB="0" distL="0" distR="0" wp14:anchorId="794F5675" wp14:editId="73B4B745">
            <wp:extent cx="1782333" cy="3173079"/>
            <wp:effectExtent l="19050" t="0" r="8367" b="0"/>
            <wp:docPr id="7" name="Рисунок 6" descr="C:\Users\Зернышко\Desktop\gtRhuAxJ5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нышко\Desktop\gtRhuAxJ5X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842" cy="317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3E74BD" w14:textId="77777777" w:rsidR="00063FCF" w:rsidRPr="00063FCF" w:rsidRDefault="00063FCF" w:rsidP="00063FCF">
      <w:pPr>
        <w:pStyle w:val="a5"/>
        <w:tabs>
          <w:tab w:val="left" w:pos="420"/>
        </w:tabs>
        <w:spacing w:before="90" w:beforeAutospacing="0" w:after="90" w:afterAutospacing="0"/>
        <w:jc w:val="both"/>
        <w:rPr>
          <w:color w:val="000000" w:themeColor="text1"/>
          <w:sz w:val="28"/>
          <w:szCs w:val="28"/>
          <w:lang w:val="ru-RU"/>
        </w:rPr>
      </w:pPr>
    </w:p>
    <w:p w14:paraId="4F115A04" w14:textId="77777777" w:rsidR="00311086" w:rsidRPr="00063FCF" w:rsidRDefault="00311086" w:rsidP="00063FCF">
      <w:pPr>
        <w:pStyle w:val="a5"/>
        <w:spacing w:before="90" w:beforeAutospacing="0" w:after="90" w:afterAutospacing="0"/>
        <w:jc w:val="both"/>
        <w:rPr>
          <w:color w:val="000000" w:themeColor="text1"/>
          <w:sz w:val="28"/>
          <w:szCs w:val="28"/>
          <w:shd w:val="clear" w:color="auto" w:fill="F4F4F4"/>
          <w:lang w:val="ru-RU"/>
        </w:rPr>
      </w:pPr>
    </w:p>
    <w:sectPr w:rsidR="00311086" w:rsidRPr="00063FCF" w:rsidSect="00ED5A63">
      <w:type w:val="continuous"/>
      <w:pgSz w:w="11906" w:h="16838"/>
      <w:pgMar w:top="640" w:right="906" w:bottom="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DC94EB"/>
    <w:multiLevelType w:val="singleLevel"/>
    <w:tmpl w:val="91DC94E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D1FC6C1"/>
    <w:multiLevelType w:val="singleLevel"/>
    <w:tmpl w:val="FD1FC6C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492788"/>
    <w:multiLevelType w:val="multilevel"/>
    <w:tmpl w:val="87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E24C0"/>
    <w:multiLevelType w:val="multilevel"/>
    <w:tmpl w:val="3A6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261355">
    <w:abstractNumId w:val="1"/>
  </w:num>
  <w:num w:numId="2" w16cid:durableId="1677460474">
    <w:abstractNumId w:val="0"/>
  </w:num>
  <w:num w:numId="3" w16cid:durableId="1347096203">
    <w:abstractNumId w:val="3"/>
  </w:num>
  <w:num w:numId="4" w16cid:durableId="201811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9140CA2"/>
    <w:rsid w:val="00063FCF"/>
    <w:rsid w:val="001120DD"/>
    <w:rsid w:val="001174B8"/>
    <w:rsid w:val="002116FD"/>
    <w:rsid w:val="002C3A45"/>
    <w:rsid w:val="00311086"/>
    <w:rsid w:val="00703865"/>
    <w:rsid w:val="00B74ACA"/>
    <w:rsid w:val="00ED5A63"/>
    <w:rsid w:val="0914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24533"/>
  <w15:docId w15:val="{93B42BCA-E961-4989-A8B7-933A501F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086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11086"/>
    <w:rPr>
      <w:i/>
      <w:iCs/>
    </w:rPr>
  </w:style>
  <w:style w:type="character" w:styleId="a4">
    <w:name w:val="Strong"/>
    <w:basedOn w:val="a0"/>
    <w:qFormat/>
    <w:rsid w:val="00311086"/>
    <w:rPr>
      <w:b/>
      <w:bCs/>
    </w:rPr>
  </w:style>
  <w:style w:type="paragraph" w:styleId="a5">
    <w:name w:val="Normal (Web)"/>
    <w:rsid w:val="00311086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B74A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4ACA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8">
    <w:name w:val="List Paragraph"/>
    <w:basedOn w:val="a"/>
    <w:uiPriority w:val="99"/>
    <w:unhideWhenUsed/>
    <w:rsid w:val="0021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6883-FBCA-4F5B-A2DD-F5295D7C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detsadmishutka@yandex.ru</cp:lastModifiedBy>
  <cp:revision>6</cp:revision>
  <dcterms:created xsi:type="dcterms:W3CDTF">2024-03-26T12:47:00Z</dcterms:created>
  <dcterms:modified xsi:type="dcterms:W3CDTF">2024-03-29T06:11:00Z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F6C80C0FCB5843A88DFF78D92DE67260_11</vt:lpwstr>
  </property>
</Properties>
</file>