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6E" w:rsidRPr="00932495" w:rsidRDefault="00A0186E" w:rsidP="00A0186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18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574218">
        <w:rPr>
          <w:rFonts w:ascii="Times New Roman" w:hAnsi="Times New Roman" w:cs="Times New Roman"/>
          <w:b/>
          <w:sz w:val="28"/>
          <w:szCs w:val="28"/>
        </w:rPr>
        <w:t>Волейбол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3AF9">
        <w:rPr>
          <w:rFonts w:ascii="Times New Roman" w:eastAsia="Times New Roman" w:hAnsi="Times New Roman" w:cs="Times New Roman"/>
          <w:b/>
          <w:sz w:val="28"/>
        </w:rPr>
        <w:t>25</w:t>
      </w:r>
      <w:r w:rsidR="002D7AE4">
        <w:rPr>
          <w:rFonts w:ascii="Times New Roman" w:eastAsia="Times New Roman" w:hAnsi="Times New Roman" w:cs="Times New Roman"/>
          <w:b/>
          <w:sz w:val="28"/>
        </w:rPr>
        <w:t>.05</w:t>
      </w:r>
      <w:r w:rsidR="00422AA7">
        <w:rPr>
          <w:rFonts w:ascii="Times New Roman" w:eastAsia="Times New Roman" w:hAnsi="Times New Roman" w:cs="Times New Roman"/>
          <w:b/>
          <w:sz w:val="28"/>
        </w:rPr>
        <w:t xml:space="preserve"> по 2</w:t>
      </w:r>
      <w:r w:rsidR="00613AF9">
        <w:rPr>
          <w:rFonts w:ascii="Times New Roman" w:eastAsia="Times New Roman" w:hAnsi="Times New Roman" w:cs="Times New Roman"/>
          <w:b/>
          <w:sz w:val="28"/>
        </w:rPr>
        <w:t>7</w:t>
      </w:r>
      <w:r w:rsidR="00422AA7">
        <w:rPr>
          <w:rFonts w:ascii="Times New Roman" w:eastAsia="Times New Roman" w:hAnsi="Times New Roman" w:cs="Times New Roman"/>
          <w:b/>
          <w:sz w:val="28"/>
        </w:rPr>
        <w:t>. 05</w:t>
      </w:r>
      <w:r w:rsidR="002D7AE4"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>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              </w:t>
            </w:r>
            <w:r w:rsidR="00495576">
              <w:rPr>
                <w:rFonts w:ascii="Times New Roman" w:eastAsia="Times New Roman" w:hAnsi="Times New Roman" w:cs="Times New Roman"/>
                <w:color w:val="C00000"/>
                <w:sz w:val="48"/>
              </w:rPr>
              <w:t>2</w:t>
            </w:r>
            <w:r w:rsidR="00613AF9">
              <w:rPr>
                <w:rFonts w:ascii="Times New Roman" w:eastAsia="Times New Roman" w:hAnsi="Times New Roman" w:cs="Times New Roman"/>
                <w:color w:val="C00000"/>
                <w:sz w:val="48"/>
              </w:rPr>
              <w:t>5</w:t>
            </w:r>
            <w:r w:rsidR="00495576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613AF9">
              <w:rPr>
                <w:rFonts w:ascii="Times New Roman" w:eastAsia="Times New Roman" w:hAnsi="Times New Roman" w:cs="Times New Roman"/>
                <w:color w:val="C00000"/>
                <w:sz w:val="48"/>
              </w:rPr>
              <w:t>26.27.</w:t>
            </w:r>
            <w:r w:rsidR="002D7AE4">
              <w:rPr>
                <w:rFonts w:ascii="Times New Roman" w:eastAsia="Times New Roman" w:hAnsi="Times New Roman" w:cs="Times New Roman"/>
                <w:color w:val="C00000"/>
                <w:sz w:val="48"/>
              </w:rPr>
              <w:t>05</w:t>
            </w:r>
            <w:r w:rsidR="00574218"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2020г</w:t>
            </w:r>
          </w:p>
          <w:p w:rsidR="00A0186E" w:rsidRDefault="00A0186E" w:rsidP="005742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574218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A0186E" w:rsidTr="005026B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2D7AE4" w:rsidP="00613AF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  <w:r w:rsidR="00613AF9">
              <w:rPr>
                <w:rFonts w:ascii="Times New Roman" w:eastAsia="Times New Roman" w:hAnsi="Times New Roman" w:cs="Times New Roman"/>
                <w:b/>
                <w:sz w:val="28"/>
              </w:rPr>
              <w:t>131. 132. 133. Тактические действия. Общая физическая подготовка. Тактические действия.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2D7A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 разучить, выполнять </w:t>
            </w:r>
            <w:r w:rsidR="002D7AE4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мяча. 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7AE4" w:rsidRPr="002D7AE4" w:rsidRDefault="00A0186E" w:rsidP="001E3C6C">
            <w:pPr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A018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E3C6C" w:rsidRDefault="001E3C6C" w:rsidP="001E3C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16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C6C" w:rsidRDefault="001E3C6C" w:rsidP="001E3C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E3C6C" w:rsidRPr="00CA540D" w:rsidRDefault="001E3C6C" w:rsidP="001E3C6C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c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 xml:space="preserve"> этап начального обучения технике игровых приемов и этап дальнейшего спортивного совершенствования </w:t>
            </w:r>
            <w:r w:rsidRPr="00CA540D">
              <w:rPr>
                <w:sz w:val="28"/>
                <w:szCs w:val="28"/>
              </w:rPr>
              <w:lastRenderedPageBreak/>
              <w:t xml:space="preserve">технического мастерства игроков </w:t>
            </w:r>
            <w:r>
              <w:rPr>
                <w:sz w:val="28"/>
                <w:szCs w:val="28"/>
              </w:rPr>
              <w:t>.</w:t>
            </w:r>
            <w:r w:rsidRPr="00CA540D">
              <w:rPr>
                <w:sz w:val="28"/>
                <w:szCs w:val="28"/>
              </w:rPr>
              <w:t>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1E3C6C" w:rsidRPr="00CA540D" w:rsidRDefault="001E3C6C" w:rsidP="001E3C6C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волейболистов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c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c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1E3C6C" w:rsidRDefault="001E3C6C" w:rsidP="001E3C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17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9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Перед общей физической подготовкой волейболистов стоят следующие задачи: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2. Развитие физических качеств (силы, выносливости, скорости, гибкости и ловкости).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422AA7" w:rsidRPr="00C74FCD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10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AA7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качеств спортсмена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11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E4" w:rsidRPr="002D7AE4" w:rsidRDefault="002D7AE4" w:rsidP="002D7AE4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422AA7" w:rsidRPr="00F21162" w:rsidRDefault="00422AA7" w:rsidP="00422AA7">
            <w:pPr>
              <w:pStyle w:val="ab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776774" cy="3444949"/>
                  <wp:effectExtent l="19050" t="0" r="0" b="0"/>
                  <wp:docPr id="13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(см.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880610" cy="3540760"/>
                  <wp:effectExtent l="19050" t="0" r="0" b="0"/>
                  <wp:docPr id="14" name="Рисунок 1" descr="taktika-igri-v-voleibo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tika-igri-v-voleibo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AE4">
              <w:rPr>
                <w:sz w:val="28"/>
                <w:szCs w:val="28"/>
              </w:rPr>
              <w:t>Поскольку в обеих системах защиты тактические действия игроков передней линии практически не отличаются, рассмотрим защитные действия игроков задней линии, при использовании этих двух систем защиты в волейболе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,</w:t>
            </w:r>
            <w:r w:rsidRPr="002D7AE4">
              <w:rPr>
                <w:sz w:val="28"/>
                <w:szCs w:val="28"/>
              </w:rPr>
              <w:t> на примере распространенного случая: нападение происходит из зоны 4, двойной </w:t>
            </w:r>
            <w:hyperlink r:id="rId15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блок</w:t>
              </w:r>
            </w:hyperlink>
            <w:r w:rsidRPr="002D7AE4">
              <w:rPr>
                <w:sz w:val="28"/>
                <w:szCs w:val="28"/>
              </w:rPr>
              <w:t> ставят защитники зон 2 и 3, защитник зоны 4 оттянут в район боковой линии, для приема нападающего удара в эту зону, или скидки. На рисунках показаны исходные положения игроков задней линии.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как можно раньше предугадать силу и направление атакующего удара и, в зависимости от этого: а) переместиться для </w:t>
            </w:r>
            <w:hyperlink r:id="rId16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приема</w:t>
              </w:r>
            </w:hyperlink>
            <w:r w:rsidRPr="002D7AE4">
              <w:rPr>
                <w:sz w:val="28"/>
                <w:szCs w:val="28"/>
              </w:rPr>
              <w:t xml:space="preserve"> отскочившего от блока мяча, в том числе в аут (за </w:t>
            </w:r>
            <w:r w:rsidRPr="002D7AE4">
              <w:rPr>
                <w:sz w:val="28"/>
                <w:szCs w:val="28"/>
              </w:rPr>
              <w:lastRenderedPageBreak/>
              <w:t>боковую и лицевую линии); б) «выйти» из-за блока (или «в дырку» в блоке), перемещаясь вдоль боковой линии, в незащищенное место площадки, для приема нападающего удара; в) переместиться в направлении зоны 6 для приема скидки.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как можно раньше предугадать направление и силу </w:t>
            </w:r>
            <w:hyperlink r:id="rId17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нападающего удара</w:t>
              </w:r>
            </w:hyperlink>
            <w:r w:rsidRPr="002D7AE4">
              <w:rPr>
                <w:sz w:val="28"/>
                <w:szCs w:val="28"/>
              </w:rPr>
              <w:t> и, в зависимости от этого: а) переместиться для приема отскочившего от блока мяча, в том числе в аут (за боковую и лицевую линии); б) начать перемещение вдоль боковой линии для приема нападающего удара по линии, вплоть до линии нападения; в) в случае необходимости, выполнить прием скидки в зону 2.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6 – принять скидки во всех направлениях.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назад».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принять сильный нападающий удар в район боковой линии, или, если удара не последовало, принять скидку в район зоны 3 и 6, а если игрок зоны 4 участвует в блокировании, то и скидку в район зоны 4.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 принять сильный нападающий удар в район боковой линии, или, если удара не последовало, принять скидку в район зоны 2, 3, или 6.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И, наконец, задача защитника зоны 6 - как можно раньше предугадать характер нападающего удара и, в зависимости от этого: а) принимать мячи, отскочившие от блока после нападающего удара в район лицевой линии, или за нее; б) принимать скидки, направленные в углы площадки, за игроков зон 5 и 1; в) принимать нападающие удары, направленные, примерно, в двухметровую зону от лицевой линии; г) принимать скидки, направленные в зону 6.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Рассмотренные принципы индивидуальных тактических действий игроков задней линии применимы при любых тактических комбинациях нападения, при завершении атаки из любого номера.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Разберем, далее, достоинства и недостатки двух представленных систем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 </w:t>
            </w:r>
            <w:r w:rsidRPr="002D7AE4">
              <w:rPr>
                <w:sz w:val="28"/>
                <w:szCs w:val="28"/>
              </w:rPr>
              <w:t>защиты в волейболе.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422AA7" w:rsidRPr="002D7AE4" w:rsidRDefault="00422AA7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Достоинство – надежная игра против скидок в районы зон 4, 3, 2 и 6.</w:t>
            </w:r>
          </w:p>
          <w:p w:rsidR="00613AF9" w:rsidRPr="008721E3" w:rsidRDefault="00422AA7" w:rsidP="00613AF9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 xml:space="preserve">Недостаток – не достаточно надежная игра против нападающих ударов и скидок в районы зон 5 и 1, в </w:t>
            </w:r>
            <w:r w:rsidRPr="002D7AE4">
              <w:rPr>
                <w:sz w:val="28"/>
                <w:szCs w:val="28"/>
              </w:rPr>
              <w:lastRenderedPageBreak/>
              <w:t>связи с тем, что, в зависимости от характера нападающего удара, защитнику необходимо двигаться в противоположных направлениях (либо к линии нападения, для приема нападающего удара, либо к лицевой линии, для приема отскоков от блока, или скидок на заднюю линию). В случае, если защитник зоны 5, или 1 неверно оценил характер нападающего удара и начал перемещение вперед, а мяч был сыгран (или отскочил от блока) в район лицевой линии, то принять такой мяч становиться практически невозможно, так как сзади никого нет. В другом случае, если защитник зоны 5, или 1 замешкался на задней линии, надеясь на отскок от блока, или скидку в район лицевой линии, то нападающий удар в район боковой линии (ближе к линии нападения) не оставляет шансов на благоприятный исход дальнейших защитных действий</w:t>
            </w:r>
            <w:r w:rsidR="00613AF9" w:rsidRPr="008721E3">
              <w:rPr>
                <w:color w:val="222222"/>
                <w:sz w:val="28"/>
                <w:szCs w:val="28"/>
              </w:rPr>
              <w:t xml:space="preserve"> двух.</w:t>
            </w:r>
          </w:p>
          <w:p w:rsidR="00613AF9" w:rsidRDefault="00613AF9" w:rsidP="00613AF9">
            <w:pPr>
              <w:pStyle w:val="4"/>
              <w:spacing w:before="0" w:line="402" w:lineRule="atLeast"/>
              <w:textAlignment w:val="baseline"/>
              <w:rPr>
                <w:rStyle w:val="a8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4038792" cy="3806456"/>
                  <wp:effectExtent l="19050" t="0" r="0" b="0"/>
                  <wp:docPr id="34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Pr="0031601D" w:rsidRDefault="00613AF9" w:rsidP="00613AF9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8"/>
                <w:rFonts w:ascii="inherit" w:hAnsi="inherit" w:cs="Arial"/>
                <w:i w:val="0"/>
                <w:color w:val="333333"/>
                <w:sz w:val="27"/>
                <w:szCs w:val="27"/>
              </w:rPr>
              <w:t>Техническая  подготовка игроков</w:t>
            </w:r>
          </w:p>
          <w:p w:rsidR="00613AF9" w:rsidRPr="0031601D" w:rsidRDefault="00613AF9" w:rsidP="00613AF9">
            <w:pPr>
              <w:pStyle w:val="ab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31601D">
              <w:rPr>
                <w:rStyle w:val="ac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 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613AF9" w:rsidRPr="0031601D" w:rsidRDefault="00613AF9" w:rsidP="00613AF9">
            <w:pPr>
              <w:pStyle w:val="ab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lastRenderedPageBreak/>
              <w:t>Техническая подготовка волейболистов на </w:t>
            </w:r>
            <w:r w:rsidRPr="0031601D">
              <w:rPr>
                <w:rStyle w:val="ac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c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613AF9" w:rsidRDefault="00613AF9" w:rsidP="00613AF9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c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35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</w:t>
            </w:r>
            <w:r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36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</w:t>
            </w:r>
            <w:r>
              <w:rPr>
                <w:color w:val="000000"/>
                <w:sz w:val="27"/>
                <w:szCs w:val="27"/>
              </w:rPr>
              <w:lastRenderedPageBreak/>
              <w:t>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перво мышечными усилиями, проявляемыми волейболистами в игре.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-упражнения с отягощением/штанга, набивной мяч, мешок с песком, эспандер, сопротивление партнёра и </w:t>
            </w:r>
            <w:r>
              <w:rPr>
                <w:color w:val="000000"/>
                <w:sz w:val="27"/>
                <w:szCs w:val="27"/>
              </w:rPr>
              <w:lastRenderedPageBreak/>
              <w:t>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37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Default="00613AF9" w:rsidP="00613AF9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ти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до максимальной. Очень полезны упражнения в облегченных условиях, например, бег под уклоном, бег за лидером и т.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Переменный метод. Непрерывное чередование бега со средней и повышенной скоростью со скоростью с </w:t>
            </w:r>
            <w:r>
              <w:rPr>
                <w:color w:val="000000"/>
                <w:sz w:val="27"/>
                <w:szCs w:val="27"/>
              </w:rPr>
              <w:lastRenderedPageBreak/>
              <w:t>интенсивным отдыхом, серией прыжков в полную силу с прыжками через скакалку с небольшой интенсивностью и т. п.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Повторный метод. Повторное выполнение заданий с определенной скоростью и достаточными интервалами отдыха. Например: повторное пробегание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38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качеств способствуют улучшению ловкости.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Ловкость приобретается главным образом в процессе обучения, усвоения многих и разнообразных двигательных умений и навыков. Основы ловкости-подвижность двигательного навыка.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воспитывания ловкости можно условно разделить на четыре группы: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613AF9" w:rsidRDefault="00613AF9" w:rsidP="00613AF9">
            <w:pPr>
              <w:pStyle w:val="ab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613AF9" w:rsidRPr="00C12134" w:rsidRDefault="00613AF9" w:rsidP="00613AF9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13AF9" w:rsidRPr="009317F3" w:rsidRDefault="00613AF9" w:rsidP="00613AF9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39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AF9" w:rsidRPr="009A1C5E" w:rsidRDefault="00613AF9" w:rsidP="00613AF9">
            <w:pPr>
              <w:pStyle w:val="3"/>
              <w:jc w:val="both"/>
              <w:rPr>
                <w:b w:val="0"/>
                <w:sz w:val="25"/>
                <w:szCs w:val="25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3AF9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613AF9">
              <w:rPr>
                <w:b w:val="0"/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 Средства тактики включают в себя </w:t>
            </w:r>
            <w:r w:rsidRPr="00613AF9">
              <w:rPr>
                <w:b w:val="0"/>
                <w:color w:val="000000"/>
                <w:sz w:val="28"/>
                <w:szCs w:val="28"/>
              </w:rPr>
              <w:lastRenderedPageBreak/>
              <w:t>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мяча, прием мяча, нападающие удары, подачи, блокирование и отвлекающие действия). 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 w:rsidRPr="00613AF9">
              <w:rPr>
                <w:rFonts w:ascii="Palatino Linotype" w:hAnsi="Palatino Linotype"/>
                <w:b w:val="0"/>
                <w:color w:val="000000"/>
                <w:sz w:val="22"/>
                <w:szCs w:val="22"/>
              </w:rPr>
              <w:t>.</w:t>
            </w:r>
          </w:p>
          <w:p w:rsidR="00CA540D" w:rsidRPr="00956EB6" w:rsidRDefault="00CA540D" w:rsidP="00422AA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4411DF" w:rsidRDefault="00A0186E" w:rsidP="005026B1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A0186E" w:rsidTr="005026B1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2D7AE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Самостоятельно выполнять </w:t>
            </w:r>
            <w:r w:rsidR="002D7AE4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блок 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мяча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>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7AE4" w:rsidRPr="00956EB6" w:rsidRDefault="00A0186E" w:rsidP="002D7A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C74FCD">
              <w:t xml:space="preserve"> </w:t>
            </w:r>
          </w:p>
          <w:p w:rsidR="00A0186E" w:rsidRPr="00956EB6" w:rsidRDefault="002D7AE4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2D7AE4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http://volleyball-nauka.ru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613AF9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27</w:t>
            </w:r>
            <w:r w:rsidR="002D7AE4">
              <w:rPr>
                <w:rFonts w:ascii="Times New Roman" w:eastAsia="Times New Roman" w:hAnsi="Times New Roman" w:cs="Times New Roman"/>
                <w:color w:val="00B050"/>
                <w:sz w:val="52"/>
              </w:rPr>
              <w:t>. 05</w:t>
            </w:r>
            <w:r w:rsidR="00A0186E">
              <w:rPr>
                <w:rFonts w:ascii="Times New Roman" w:eastAsia="Times New Roman" w:hAnsi="Times New Roman" w:cs="Times New Roman"/>
                <w:color w:val="00B050"/>
                <w:sz w:val="52"/>
              </w:rPr>
              <w:t>. 2020 г</w:t>
            </w:r>
          </w:p>
          <w:p w:rsidR="00A0186E" w:rsidRPr="00956EB6" w:rsidRDefault="00A0186E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выполнять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приём мяча различными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lastRenderedPageBreak/>
              <w:t xml:space="preserve">частями тела,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соревнований по </w:t>
            </w:r>
            <w:r w:rsidR="00574218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Волейболу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отправить по электронной почте преподавателю фото собственных занятий.</w:t>
            </w:r>
          </w:p>
          <w:p w:rsidR="00A0186E" w:rsidRDefault="00A0186E" w:rsidP="005026B1">
            <w:pPr>
              <w:spacing w:after="0" w:line="240" w:lineRule="auto"/>
            </w:pPr>
          </w:p>
        </w:tc>
      </w:tr>
    </w:tbl>
    <w:p w:rsidR="00A0186E" w:rsidRDefault="00A0186E" w:rsidP="00A0186E"/>
    <w:p w:rsidR="00B666E3" w:rsidRDefault="00B666E3"/>
    <w:p w:rsidR="00046E41" w:rsidRDefault="00046E41"/>
    <w:sectPr w:rsidR="00046E41" w:rsidSect="00A0186E">
      <w:headerReference w:type="default" r:id="rId2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EA8" w:rsidRDefault="008D5EA8" w:rsidP="00A0186E">
      <w:pPr>
        <w:spacing w:after="0" w:line="240" w:lineRule="auto"/>
      </w:pPr>
      <w:r>
        <w:separator/>
      </w:r>
    </w:p>
  </w:endnote>
  <w:endnote w:type="continuationSeparator" w:id="1">
    <w:p w:rsidR="008D5EA8" w:rsidRDefault="008D5EA8" w:rsidP="00A01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EA8" w:rsidRDefault="008D5EA8" w:rsidP="00A0186E">
      <w:pPr>
        <w:spacing w:after="0" w:line="240" w:lineRule="auto"/>
      </w:pPr>
      <w:r>
        <w:separator/>
      </w:r>
    </w:p>
  </w:footnote>
  <w:footnote w:type="continuationSeparator" w:id="1">
    <w:p w:rsidR="008D5EA8" w:rsidRDefault="008D5EA8" w:rsidP="00A01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6E65"/>
    <w:multiLevelType w:val="multilevel"/>
    <w:tmpl w:val="EC0A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155E8"/>
    <w:multiLevelType w:val="multilevel"/>
    <w:tmpl w:val="CFDE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A0186E"/>
    <w:rsid w:val="00046E41"/>
    <w:rsid w:val="001B662A"/>
    <w:rsid w:val="001E3C6C"/>
    <w:rsid w:val="0021082E"/>
    <w:rsid w:val="002D7AE4"/>
    <w:rsid w:val="00350FA5"/>
    <w:rsid w:val="00422AA7"/>
    <w:rsid w:val="00495576"/>
    <w:rsid w:val="005544F2"/>
    <w:rsid w:val="00574218"/>
    <w:rsid w:val="00613AF9"/>
    <w:rsid w:val="00716A8D"/>
    <w:rsid w:val="00783E63"/>
    <w:rsid w:val="007B370E"/>
    <w:rsid w:val="00831F87"/>
    <w:rsid w:val="00851A09"/>
    <w:rsid w:val="008D5EA8"/>
    <w:rsid w:val="008F6D71"/>
    <w:rsid w:val="00A0186E"/>
    <w:rsid w:val="00B666E3"/>
    <w:rsid w:val="00C74FCD"/>
    <w:rsid w:val="00C75E5B"/>
    <w:rsid w:val="00CA540D"/>
    <w:rsid w:val="00CB609A"/>
    <w:rsid w:val="00D945DA"/>
    <w:rsid w:val="00E41E65"/>
    <w:rsid w:val="00E739A1"/>
    <w:rsid w:val="00EB6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6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A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739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3A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186E"/>
  </w:style>
  <w:style w:type="paragraph" w:styleId="a5">
    <w:name w:val="footer"/>
    <w:basedOn w:val="a"/>
    <w:link w:val="a6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86E"/>
  </w:style>
  <w:style w:type="character" w:styleId="a7">
    <w:name w:val="Hyperlink"/>
    <w:basedOn w:val="a0"/>
    <w:uiPriority w:val="99"/>
    <w:unhideWhenUsed/>
    <w:rsid w:val="00046E4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739A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7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9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739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CA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A540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D7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13AF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8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1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41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43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3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0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2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6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29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3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9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22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5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83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9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58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73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8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2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3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9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778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1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4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01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1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57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2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2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1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2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oleybol-ksendzov.ru/wp-content/uploads/2012/02/Dve-sistemyi-zashhityi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voleybol-ksendzov.ru/napadayushhij-udar-v-volejbole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oleybol-ksendzov.ru/priem-v-volejbole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voleybol-ksendzov.ru/blok-v-voleibole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2756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12</cp:revision>
  <dcterms:created xsi:type="dcterms:W3CDTF">2020-04-19T11:41:00Z</dcterms:created>
  <dcterms:modified xsi:type="dcterms:W3CDTF">2020-05-25T17:57:00Z</dcterms:modified>
</cp:coreProperties>
</file>