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Морозостойкость плотных и пористых материалов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строительном материаловедении понятие «морозостойкость» связывают с воздействием на материал двух основных факторов: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влияние низких температур - для абсолютно плотных материалов (стекло, металлы, полимерные изделия и др.);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совокупное влияние низких температур и воды - для материалов мелкопористой структуры (природные и искусственные каменные материалы, в том числе строительная керамика, бетоны, растворы и др.).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Таким образом, для плотных материалов морозостойкость — способность материала сохранять эксплуатационные свойства при низких температурах. К таким материалам предъявляются требования в зависимости от их назначения с учетом условий эксплуатации. В большинстве случаев основным требованием является сохранение целостности структуры.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Механизм разрушения структуры материала при перепадах температуры связан с явлением расширения — сжатия и изменением упругих свойств материала. При низких температурах материал становится более хрупким, ломким; резко снижается его ударная прочность.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в большей степени относится к полимерным материалам и металлам.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Морозостойкость природных и искусственных каменных материалов — способность материала выдерживать многократное попеременное замораживание и оттаивание в насыщенном водой состоянии (без видимых признаков разрушения и допустимого понижения прочности).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Разрушительное воздействие мороза на ограждающую конструкцию можно условно разделить на три основных периода: водонасыщение, промерзание и, собственно, разрушение.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наиболее влажный период года происходит водонасыщение поверхностного слоя ограждающей конструкции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E5E406" wp14:editId="2669A03C">
            <wp:extent cx="2007235" cy="1472565"/>
            <wp:effectExtent l="0" t="0" r="0" b="0"/>
            <wp:docPr id="2" name="Рисунок 2" descr="https://works.doklad.ru/images/4bW4mPfDh_Q/5ee93c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4bW4mPfDh_Q/5ee93cf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Рис. 6.1. </w:t>
      </w:r>
      <w:proofErr w:type="spellStart"/>
      <w:r w:rsidRPr="00CF073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Распределеление</w:t>
      </w:r>
      <w:proofErr w:type="spellEnd"/>
      <w:r w:rsidRPr="00CF073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температуры в наружной стене здания (а) и заполнение пор водой (б) вблизи наружной поверхности: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1 - адсорбированная вода; 2 - конденсат; </w:t>
      </w:r>
      <w:proofErr w:type="gramStart"/>
      <w:r w:rsidRPr="00CF073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CF073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- устье; 4 - дождевая вода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 понижении температуры окружающей среды наружные слои конструкции постепенно охлаждаются, фронт низких температур распространяется внутрь конструкции. </w:t>
      </w:r>
      <w:proofErr w:type="gram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Водяной пар, находящийся в противоположной зоне конструкции, перемещается от тепла к холоду, поскольку давление влажного воздуха при отрицательной температуре ниже, чем при положительной.</w:t>
      </w:r>
      <w:proofErr w:type="gram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Попадая в зону низких температур, водяной пар конденсируется в порах, вблизи наружной поверхности ограждающей конструкции (рис. 6.1.).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наступлении даже небольших морозов (-5..-8</w:t>
      </w:r>
      <w:r w:rsidRPr="00CF073B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С) вода, находящаяся в крупных порах, замерзая и превращаясь в лед, создает напряженное состояние в материале.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Механизм разрушения структуры пористых тел при замораживании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Существует несколько гипотез, объясняющих причины разрушения структуры материала при замораживании: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- вода, находящаяся в крупных порах материала при температуре ниже 0,01</w:t>
      </w:r>
      <w:r w:rsidRPr="00CF073B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С, превращается в лед с увеличением в объеме около 9%. Если при этом коэффициент насыщения приближается к 1, то в стенках пор могут возникнуть растягивающие напряжения, являющиеся основной причиной разрушения структуры;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давление расширения воды при замерзании заставляет мигрировать еще не замерзшую воду, создавая большое гидростатическое давление, которое усиливает напряжения на стенки сообщающихся пор;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перемещение незамерзшей воды </w:t>
      </w:r>
      <w:proofErr w:type="gram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направлении поверхности из тонких пор в крупные в момент образования в них льда</w:t>
      </w:r>
      <w:proofErr w:type="gram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понижение при этом давления пара (эффект вспучивания грунта при замерзании).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Анализируя вышеперечисленные гипотезы, отметим, что, несмотря на некоторые противоречия (например, между двумя последними причинами в плане направления миграции воды), главным фактором разрушения следует признать изменение фазового состояния воды при изменении температуры или давления.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точки зрения термодинамики, процесс замораживания сопоставим с процессом сушки пористых материалов по двум основным положениям: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изменение агрегатного состояния воды или установление равновесного состояния «вода </w:t>
      </w:r>
      <w:proofErr w:type="gram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—л</w:t>
      </w:r>
      <w:proofErr w:type="gram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ед» при замораживании и «вода — пар» при сушке (рис. 4.31);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19929F" wp14:editId="451AB67A">
            <wp:extent cx="2113915" cy="2339340"/>
            <wp:effectExtent l="0" t="0" r="635" b="3810"/>
            <wp:docPr id="1" name="Рисунок 1" descr="https://works.doklad.ru/images/4bW4mPfDh_Q/m10ac6c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4bW4mPfDh_Q/m10ac6c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‘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возникновение массообменных процессов внутри материала в результате высоких градиентов давлений над водой при замораживании и высоких градиентов влажности при сушке.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Известно, что процесс диффузии влаги внутри материала при сушке зависит от характеристики структуры материала и свойств воды, а также градиентов температуры, влажности и давления.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Проводя аналогию между процессами диффузии влаги при сушке и замораживании материалов, отметим следующие основные моменты: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если при сушке основной движущей силой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влагопроводности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является градиент влажности, который во многом зависит от интенсивности испарения воды, то при замораживании — градиент давления, который зависит от изменения температур и скорости кристаллизации воды;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направление движения влаги в обоих случаях одинаковое — в сторону расположения критической точки превращения воды: в первом случае — в пар, во втором — в лед, т. е. к поверхности;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роль воздуха в пористой структуре материала в двух этих процессах неодинаковая, но положительная: при сушке, особенно во время интенсивного нагрева, влага в порах испаряется и за счет избыточного давления пара увеличивает диффузию, а при замораживании наличие свободного воздушного </w:t>
      </w: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пространства уменьшает гидростатическое давление и снижает напряжение в материале.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Факторы, влияющие на морозостойкость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Анализ механизма при замораживании показывает, что морозостойкость пористых строительных материалов связана в основном с двумя характеристиками структуры: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водопоглощением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способностью сопротивляться растягивающим напряжениям.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Водопогющение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— косвенная характеристика пористости, которая показывает способность материалов впитывать и удерживать влагу в период эксплуатации.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Водопоглощение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характеризуется коэффициентом насыщения пор водой, </w:t>
      </w:r>
      <w:proofErr w:type="gram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определяется по формуле: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Кн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= W / </w:t>
      </w:r>
      <w:proofErr w:type="gram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где: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Кн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— коэффициент насыщения, ед.;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W -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водопоглощение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 объему</w:t>
      </w:r>
      <w:proofErr w:type="gram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%;</w:t>
      </w:r>
      <w:proofErr w:type="gramEnd"/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— общая пористость материала, %.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Коэффициент насыщения может изменяться от 0 (все поры в материале замкнутые) до 1 (все поры открытые), и тогда W = П. Уменьшение коэффициента насыщения при неизменной пористости свидетельствует о сокращении открытой пористости, что значительно повышает морозостойкость структуры.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Предел прочности при растяжении зависит от природы химических связей и наступает при нарушении равновесия между силами притяжения и отталкивания с последующим нарушением связности структуры. Эта характеристика является константой для каждого материала.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Однако следует заметить, что в условиях замораживания в локальных участках пористой структуры имеет место не классическое осевое растяжение, а гидростатическое давление расширения, которое меняет характер и механизм разрушения структуры.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Главной проблемой повышения морозостойкости пористых материалов является снижение растягивающих напряжений при замораживании, которое может быть достигнуто: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при уменьшении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водопоглощения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 счет создания микропористой структуры с преимущественно замкнутыми порами;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путем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воздухововлечения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когда в материале образуются воздушные резервуары, гасящие избыточное давление мигрирующей воды;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посредством </w:t>
      </w:r>
      <w:proofErr w:type="gram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введения</w:t>
      </w:r>
      <w:proofErr w:type="gram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структуру материала высокодисперсного армирующего компонента, увеличивающего пластическую составляющую в целом упругой деформации.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Количественно морозостойкость материала оценивается циклами замораживания и оттаивания. Количество циклов определяется по потере прочности материала, которая не должна превышать 25%, или по потере массы, которая не должна превышать 5%.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Показатель морозостойкости (марка) обозначается символами: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F15; F25; F50.. F500, где цифры показывают количество циклов замораживания и оттаивания материала при испытании.</w:t>
      </w:r>
    </w:p>
    <w:p w:rsid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Условия испытания, установленные российскими и международными стандартами, являются значительно более суровыми, чем реальные условия эксплуатации материала, особенно в части интенсивности замораживания и оттаивания, что в значительной мере связано со сроками проведения этих испытаний. В табл. 6.2 представлены показатели морозостойкости некоторых строительных материалов.</w:t>
      </w:r>
    </w:p>
    <w:p w:rsid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Таблица 6.2. Морозостойкость строительных материалов в зависимости от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водопоглощения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предела прочности при разрыве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75"/>
        <w:gridCol w:w="1821"/>
        <w:gridCol w:w="1601"/>
        <w:gridCol w:w="1616"/>
        <w:gridCol w:w="1762"/>
      </w:tblGrid>
      <w:tr w:rsidR="00CF073B" w:rsidRPr="00CF073B" w:rsidTr="00CF073B">
        <w:trPr>
          <w:trHeight w:val="1005"/>
          <w:tblCellSpacing w:w="0" w:type="dxa"/>
        </w:trPr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Водопо-глощение</w:t>
            </w:r>
            <w:proofErr w:type="spellEnd"/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Плот</w:t>
            </w: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softHyphen/>
              <w:t>ность,</w:t>
            </w:r>
          </w:p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/см</w:t>
            </w:r>
            <w:r w:rsidRPr="00CF073B">
              <w:rPr>
                <w:rFonts w:ascii="Georgia" w:eastAsia="Times New Roman" w:hAnsi="Georgia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CF073B">
              <w:rPr>
                <w:rFonts w:ascii="Georgia" w:eastAsia="Times New Roman" w:hAnsi="Georgia" w:cs="Times New Roman"/>
                <w:sz w:val="24"/>
                <w:szCs w:val="24"/>
                <w:vertAlign w:val="subscript"/>
                <w:lang w:eastAsia="ru-RU"/>
              </w:rPr>
              <w:t>разр</w:t>
            </w:r>
            <w:proofErr w:type="spellEnd"/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Морозостой</w:t>
            </w:r>
            <w:proofErr w:type="spellEnd"/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-кость</w:t>
            </w:r>
            <w:proofErr w:type="gramEnd"/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циклы</w:t>
            </w:r>
          </w:p>
        </w:tc>
      </w:tr>
      <w:tr w:rsidR="00CF073B" w:rsidRPr="00CF073B" w:rsidTr="00CF073B">
        <w:trPr>
          <w:trHeight w:val="645"/>
          <w:tblCellSpacing w:w="0" w:type="dxa"/>
        </w:trPr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Керамический кирпич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8...15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1,6...1,9</w:t>
            </w:r>
          </w:p>
        </w:tc>
        <w:tc>
          <w:tcPr>
            <w:tcW w:w="8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0,9..3,5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15...50</w:t>
            </w:r>
          </w:p>
        </w:tc>
      </w:tr>
      <w:tr w:rsidR="00CF073B" w:rsidRPr="00CF073B" w:rsidTr="00CF073B">
        <w:trPr>
          <w:trHeight w:val="645"/>
          <w:tblCellSpacing w:w="0" w:type="dxa"/>
        </w:trPr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Кер</w:t>
            </w:r>
            <w:proofErr w:type="spellEnd"/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фасадная плита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1..5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1,9...2,2</w:t>
            </w:r>
          </w:p>
        </w:tc>
        <w:tc>
          <w:tcPr>
            <w:tcW w:w="8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4..6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35...50</w:t>
            </w:r>
          </w:p>
        </w:tc>
      </w:tr>
      <w:tr w:rsidR="00CF073B" w:rsidRPr="00CF073B" w:rsidTr="00CF073B">
        <w:trPr>
          <w:trHeight w:val="735"/>
          <w:tblCellSpacing w:w="0" w:type="dxa"/>
        </w:trPr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Клинкерный кир</w:t>
            </w: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softHyphen/>
              <w:t>пич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&lt; 1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2,3...2,5</w:t>
            </w:r>
          </w:p>
        </w:tc>
        <w:tc>
          <w:tcPr>
            <w:tcW w:w="8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6...10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50...100</w:t>
            </w:r>
          </w:p>
        </w:tc>
      </w:tr>
      <w:tr w:rsidR="00CF073B" w:rsidRPr="00CF073B" w:rsidTr="00CF073B">
        <w:trPr>
          <w:trHeight w:val="345"/>
          <w:tblCellSpacing w:w="0" w:type="dxa"/>
        </w:trPr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Ячеистый бетон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40...60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0,5...1,2</w:t>
            </w:r>
          </w:p>
        </w:tc>
        <w:tc>
          <w:tcPr>
            <w:tcW w:w="8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0,078... 1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15...75</w:t>
            </w:r>
          </w:p>
        </w:tc>
      </w:tr>
      <w:tr w:rsidR="00CF073B" w:rsidRPr="00CF073B" w:rsidTr="00CF073B">
        <w:trPr>
          <w:trHeight w:val="360"/>
          <w:tblCellSpacing w:w="0" w:type="dxa"/>
        </w:trPr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Легкий бетон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0,8...1,8</w:t>
            </w:r>
          </w:p>
        </w:tc>
        <w:tc>
          <w:tcPr>
            <w:tcW w:w="8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0,8..3,2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25...400</w:t>
            </w:r>
          </w:p>
        </w:tc>
      </w:tr>
      <w:tr w:rsidR="00CF073B" w:rsidRPr="00CF073B" w:rsidTr="00CF073B">
        <w:trPr>
          <w:trHeight w:val="345"/>
          <w:tblCellSpacing w:w="0" w:type="dxa"/>
        </w:trPr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Тяжелый бетон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3...10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2,2...2,5</w:t>
            </w:r>
          </w:p>
        </w:tc>
        <w:tc>
          <w:tcPr>
            <w:tcW w:w="8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0,8..3,2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50...500</w:t>
            </w:r>
          </w:p>
        </w:tc>
      </w:tr>
      <w:tr w:rsidR="00CF073B" w:rsidRPr="00CF073B" w:rsidTr="00CF073B">
        <w:trPr>
          <w:trHeight w:val="375"/>
          <w:tblCellSpacing w:w="0" w:type="dxa"/>
        </w:trPr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Асбестоцемент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20...25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1,6...1,8</w:t>
            </w:r>
          </w:p>
        </w:tc>
        <w:tc>
          <w:tcPr>
            <w:tcW w:w="8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10..15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F073B" w:rsidRPr="00CF073B" w:rsidRDefault="00CF073B" w:rsidP="00CF073B">
            <w:pPr>
              <w:shd w:val="clear" w:color="auto" w:fill="FFFFFF"/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073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50...100</w:t>
            </w:r>
          </w:p>
        </w:tc>
      </w:tr>
    </w:tbl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Анализ таблицы позволяет сделать следующие выводы: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водопоглощение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сопротивление растяжению являются основными факторами, влияющими на морозостойкость любого вида пористых каменных материалов;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с увеличением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водопоглощения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уменьшением сопротивления растяжению морозостойкость материалов уменьшается;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мера влияния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водопоглощения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сопротивления растяжению на морозостойкость зависит от вида материала и особенностей его структуры: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</w:t>
      </w:r>
      <w:r w:rsidRPr="00CF073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керамические материалы</w:t>
      </w: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оба фактора имеют примерно равное значение;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</w:t>
      </w:r>
      <w:r w:rsidRPr="00CF073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тяжелые бетоны</w:t>
      </w: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главным является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водопоглощение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</w:t>
      </w:r>
      <w:r w:rsidRPr="00CF073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легкие бетоны</w:t>
      </w: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главный фактор — особенность структуры, связанная с наличием резервной пористости заполнителя;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водопоглощение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сопротивление растяжению, практически, влияния не оказывают;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</w:t>
      </w:r>
      <w:r w:rsidRPr="00CF073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ячеистые бетоны</w:t>
      </w: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наличие преимущественно крупных (10.. .200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мк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), неопасных пор;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водопоглощение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сопротивление растяжению второстепенны;</w:t>
      </w:r>
    </w:p>
    <w:p w:rsid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</w:t>
      </w:r>
      <w:r w:rsidRPr="00CF073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асбестоцементные материалы</w:t>
      </w:r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высокое сопротивление растяжению и снижение напряжения расширения благодаря увеличению доли пластических деформаций при разрушении; </w:t>
      </w:r>
      <w:proofErr w:type="spellStart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водопоглощение</w:t>
      </w:r>
      <w:proofErr w:type="spellEnd"/>
      <w:r w:rsidRPr="00CF07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— второстепенный фактор.</w:t>
      </w:r>
    </w:p>
    <w:p w:rsid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CF073B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Контрольные вопросы:</w:t>
      </w:r>
    </w:p>
    <w:p w:rsid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Понятие морозостойкость?</w:t>
      </w:r>
    </w:p>
    <w:p w:rsidR="00CF073B" w:rsidRPr="00CF073B" w:rsidRDefault="00CF073B" w:rsidP="00CF073B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  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Факторы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влияющие на морозостойкость.</w:t>
      </w:r>
    </w:p>
    <w:sectPr w:rsidR="00CF073B" w:rsidRPr="00CF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BF"/>
    <w:rsid w:val="00352E04"/>
    <w:rsid w:val="00CF073B"/>
    <w:rsid w:val="00F0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1432</Words>
  <Characters>8169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2021-10-29T08:29:00Z</dcterms:created>
  <dcterms:modified xsi:type="dcterms:W3CDTF">2021-10-29T08:34:00Z</dcterms:modified>
</cp:coreProperties>
</file>