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7" w:rsidRPr="00A91497" w:rsidRDefault="00A91497" w:rsidP="00A91497">
      <w:pPr>
        <w:shd w:val="clear" w:color="auto" w:fill="F1F2F6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ИЗОБРАЖЕНИЯ — ВИДЫ, РАЗРЕЗЫ, СЕЧЕНИЯ</w:t>
      </w:r>
    </w:p>
    <w:p w:rsidR="00A91497" w:rsidRPr="00A91497" w:rsidRDefault="00A91497" w:rsidP="00A9149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По вопросам репетиторства по инженерной графике (черчению), вы можете связаться любым удобным для вас </w:t>
      </w:r>
      <w:r w:rsidRPr="00A9149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ВИДЫ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изображения предметов (изделий, сооружений и их составных элементов) на чертежах для всех отраслей промышленности и строительства устанавливает ГОСТ 2.305 – 2008* «Изображения — виды, разрезы, сечения».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Изображения предметов должны выполняться с использованием метода прямоугольного (ортогонального) проецирования. При этом предмет располагают между наблюдателем и соответ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ствующей плоскостью проекций. При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роении изображений пр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едметов стандарт допускае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применение условностей и упрощ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ений, вследствие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чего указанное соответствие нарушается. Поэтому получающиеся при проецир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овании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редмета фигур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называют не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оекциями, а изоб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ажениями. В качестве основных плоскостей проекций принимают грани пустотелого куба, в который мысленно помещают предмет и проецируют его на внутренние поверхности граней. Грани совмещают с плоскостью (Рисунок 1). В результате такого проецирования получаются следующие изображения: вид спереди, вид сверху, вид слева, вид справа, вид сзади, вид снизу.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Изображение на фронтальной плоскости принимается на чертеже в качестве главного. Предмет располагают относительно фронтальной плоскости проекций так, чтобы изображение на ней давало наиболее полное представление о конструктивных особенностях предмета и его функциональном назначении.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 </w:t>
      </w: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выбор главного изображения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примере такого предмета, как стул. Изобразим его проекции схематично: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2130F90" wp14:editId="5048CD85">
            <wp:extent cx="3253865" cy="2819400"/>
            <wp:effectExtent l="0" t="0" r="3810" b="0"/>
            <wp:docPr id="37" name="Рисунок 37" descr="выбор главного изоб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бор главного изобра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86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Порассуждаем: функциональное назначение предмета — предмет служит для того, чтобы на нем сидеть. На каком из рисунков данное назначение наиболее понятно — вероятно, это рисунок 1 или 2, 3-й — наименее информативен.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Конструктивные особенности предмета — есть непосредственно сидение, спинка, для удобства сидения на стуле, 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расположенную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определенным углом относительно сидения, ножки, располагающие сидение на определенном расстоянии от пола. На каком из рисунков данные особенности наиболее наглядно представлены? Очевидно, что это рисунок 1.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 — в качестве главного вида выбираем проекцию под номером 1, как наиболее информативную и наиболее полно дающую информацию о функциональном назначении стула и его конструктивных особенностях.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Подобным образом необходимо рассуждать при выборе главного изображения любого предмета!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Изображения на чертеже в зависимости от их содержания разделяются на виды, сечения, разрезы.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Вид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— изображение видимой части поверхности предмета, обращённой к наблюдателю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разделяются на </w:t>
      </w:r>
      <w:r w:rsidRPr="00A91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основные, местные и дополнительные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Основные виды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</w:t>
      </w: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изображения получают путем проецирования предмета на плоскости проекций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Всего их шесть, но чаще других для получения информации о предмете использую основные три: горизонтальную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?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фронтальную ?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профильную ?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(Рисунок 2.1). При таком проецировании получают: вид спереди, вид сверху, вид слева.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Названия видов на чертежах не надписываются, если они расположены в проекционной связи (Рисунок 1). Если же виды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слева 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спpава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находятся в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пpоекционной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с главным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изобpажением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они отмечаются на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чеpтеже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надписью по типу «А». Направление взгляда указывается стрелкой, обозначаемой прописной буквой русского алфавита. Когда отсутствует изображение, на котором может быть показано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авление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взгляда, название вида надписывают.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40148BA" wp14:editId="104FC025">
            <wp:extent cx="5715000" cy="5016500"/>
            <wp:effectExtent l="0" t="0" r="0" b="0"/>
            <wp:docPr id="36" name="Рисунок 36" descr="Рисунок 2.1 Образование основных в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.1 Образование основных вид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E8B043C" wp14:editId="162E65DD">
            <wp:extent cx="5715000" cy="3873500"/>
            <wp:effectExtent l="0" t="0" r="0" b="0"/>
            <wp:docPr id="35" name="Рисунок 35" descr="Рисунок 2.1 Образование основных в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2.1 Образование основных вид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Рисунок 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Образование основных видов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Местный вид</w:t>
      </w: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— изображение отдельного ограниченного места поверхности предмета на одной из основных плоскостей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оекций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Местный вид можно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асполагать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любом свободном месте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чеpтежа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отмечая надписью типа «А», а у связанного с ним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изобpажения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пpедмета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быть поставлена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стpелка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указывающая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напpавление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взгляда, с соответствующим 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уквенным обозначением (Рисунок 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а, б).</w:t>
      </w:r>
    </w:p>
    <w:tbl>
      <w:tblPr>
        <w:tblW w:w="10967" w:type="dxa"/>
        <w:tblBorders>
          <w:top w:val="single" w:sz="6" w:space="0" w:color="2F7CD9"/>
          <w:left w:val="single" w:sz="6" w:space="0" w:color="2F7CD9"/>
          <w:bottom w:val="single" w:sz="6" w:space="0" w:color="2F7CD9"/>
          <w:right w:val="single" w:sz="6" w:space="0" w:color="2F7C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7"/>
      </w:tblGrid>
      <w:tr w:rsidR="00A91497" w:rsidRPr="00A91497" w:rsidTr="00A91497">
        <w:trPr>
          <w:trHeight w:val="5550"/>
        </w:trPr>
        <w:tc>
          <w:tcPr>
            <w:tcW w:w="10967" w:type="dxa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5D4ABF8" wp14:editId="3AD60736">
                  <wp:extent cx="5511800" cy="3289300"/>
                  <wp:effectExtent l="0" t="0" r="0" b="6350"/>
                  <wp:docPr id="34" name="Рисунок 34" descr="Рисунок 2.2 – Местные ви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 2.2 – Местные ви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97" w:rsidRPr="00A91497" w:rsidTr="00A91497">
        <w:trPr>
          <w:trHeight w:val="699"/>
        </w:trPr>
        <w:tc>
          <w:tcPr>
            <w:tcW w:w="10967" w:type="dxa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</w:tr>
      <w:tr w:rsidR="00A91497" w:rsidRPr="00A91497" w:rsidTr="00A91497">
        <w:trPr>
          <w:trHeight w:val="3294"/>
        </w:trPr>
        <w:tc>
          <w:tcPr>
            <w:tcW w:w="10967" w:type="dxa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0ECDCA0" wp14:editId="79D8D34B">
                  <wp:extent cx="2857500" cy="1866900"/>
                  <wp:effectExtent l="0" t="0" r="0" b="0"/>
                  <wp:docPr id="33" name="Рисунок 33" descr="Рисунок 2.2 – Местные ви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унок 2.2 – Местные ви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97" w:rsidRPr="00A91497" w:rsidTr="00A91497">
        <w:trPr>
          <w:trHeight w:val="699"/>
        </w:trPr>
        <w:tc>
          <w:tcPr>
            <w:tcW w:w="10967" w:type="dxa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</w:tbl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 Местные виды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Местный вид может быть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аничен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линией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обpыва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возможности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наименьшем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pазмеpе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а), или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огpаничен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2, б).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Дополнительные виды</w:t>
      </w: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—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изоб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ажения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получаемые на плоскостях,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непаpаллельных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основным плоскостям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пpоекций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Дополнительные виды выполняются в тех случаях, если какую-либо часть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едмета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невозможно показать на основных видах без искажения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фоpмы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pазмеpов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Дополнительный вид отмечается на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надписью типа «А» (Рисунок 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3, а), а у связанного с дополнительным видом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изобpажения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пpедмета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ставится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стpелка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соответствующим бу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квенным обозначением (Рисунок 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 а), указывающая направление взгляда.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дополнительный вид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асположен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непосpедственной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пpоекционной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с соответствующим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изобpажением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стpелку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надпись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 видом не наносят (Рисунок 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 б). Дополнительный вид можно повернуть, сохраняя при этом положение, принятое для данного предмета на главном изображении. При этом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надписи «А» добавляется знак </w:t>
      </w: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D5D283D" wp14:editId="69DD712B">
            <wp:extent cx="330200" cy="266700"/>
            <wp:effectExtent l="0" t="0" r="0" b="0"/>
            <wp:docPr id="32" name="Рисунок 32" descr="знак поверну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к поверну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(«Повернуто») (Рисунок 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 в).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Основные, местные и дополнительные виды служат для изображения формы внешних поверхностей предмета. Удачное их сочетание позволяет избежать штриховых линий, или свести их количество до минимума. Для уменьшения количества изображений 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допускается 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видах показывать необходимые невидимые части поверхности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штpиховых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линий. Однако, выявление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внутpенних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повеpхностей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пpедмета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помощи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штpиховых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линий значительно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затpудняет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чеpтежа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сoздает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пpедпосылки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непpавильного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толкования, усложняет нанесение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pазмеpов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условных обозначений, поэтому их использование должно быть ограничено и 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оправдано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Для выявления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енней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(невидимой)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конфигуpации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пpедмета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пpименяют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условные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изобpажения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сечения.</w:t>
      </w:r>
    </w:p>
    <w:tbl>
      <w:tblPr>
        <w:tblW w:w="5000" w:type="pct"/>
        <w:tblBorders>
          <w:top w:val="single" w:sz="6" w:space="0" w:color="2F7CD9"/>
          <w:left w:val="single" w:sz="6" w:space="0" w:color="2F7CD9"/>
          <w:bottom w:val="single" w:sz="6" w:space="0" w:color="2F7CD9"/>
          <w:right w:val="single" w:sz="6" w:space="0" w:color="2F7C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5474"/>
      </w:tblGrid>
      <w:tr w:rsidR="00A91497" w:rsidRPr="00A91497" w:rsidTr="00A91497"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A8AA34A" wp14:editId="53A71FC7">
                  <wp:extent cx="1905000" cy="1993900"/>
                  <wp:effectExtent l="0" t="0" r="0" b="6350"/>
                  <wp:docPr id="31" name="Рисунок 31" descr=" Дополнительный вид, выполненный не в проекционной связи с основн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Дополнительный вид, выполненный не в проекционной связи с основн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D7B0396" wp14:editId="034579B9">
                  <wp:extent cx="1905000" cy="1422400"/>
                  <wp:effectExtent l="0" t="0" r="0" b="6350"/>
                  <wp:docPr id="30" name="Рисунок 30" descr="Дополнительный вид, выполненный в проекционной связи с основн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ополнительный вид, выполненный в проекционной связи с основн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97" w:rsidRPr="00A91497" w:rsidTr="00A91497"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  <w:tr w:rsidR="00A91497" w:rsidRPr="00A91497" w:rsidTr="00A91497"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  <w:r w:rsidRPr="00A9149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Дополнительный вид, выполненный не </w:t>
            </w:r>
            <w:r w:rsidRPr="00A9149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в проекционной связи с основным изображением.</w:t>
            </w:r>
          </w:p>
        </w:tc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 xml:space="preserve">Дополнительный вид, выполненный в </w:t>
            </w:r>
            <w:r w:rsidRPr="00A9149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проекционной связи с основным изображением.</w:t>
            </w:r>
          </w:p>
        </w:tc>
      </w:tr>
    </w:tbl>
    <w:p w:rsidR="00A91497" w:rsidRPr="00A91497" w:rsidRDefault="00A91497" w:rsidP="00A91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2F7CD9"/>
          <w:left w:val="single" w:sz="6" w:space="0" w:color="2F7CD9"/>
          <w:bottom w:val="single" w:sz="6" w:space="0" w:color="2F7CD9"/>
          <w:right w:val="single" w:sz="6" w:space="0" w:color="2F7C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7"/>
      </w:tblGrid>
      <w:tr w:rsidR="00A91497" w:rsidRPr="00A91497" w:rsidTr="00A91497">
        <w:tc>
          <w:tcPr>
            <w:tcW w:w="50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0E52DE6" wp14:editId="431E9258">
                  <wp:extent cx="1905000" cy="1536700"/>
                  <wp:effectExtent l="0" t="0" r="0" b="6350"/>
                  <wp:docPr id="29" name="Рисунок 29" descr="Дополнительный вид, выполненный не в проекционной связи с основным изображением и поверну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Дополнительный вид, выполненный не в проекционной связи с основным изображением и поверну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97" w:rsidRPr="00A91497" w:rsidTr="00A91497">
        <w:tc>
          <w:tcPr>
            <w:tcW w:w="50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</w:tr>
      <w:tr w:rsidR="00A91497" w:rsidRPr="00A91497" w:rsidTr="00A91497">
        <w:tc>
          <w:tcPr>
            <w:tcW w:w="50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</w:t>
            </w:r>
            <w:r w:rsidRPr="00A91497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Дополнительный вид, выполненный не в проекционной связи с основным изображением и повернутый на угол.</w:t>
            </w:r>
          </w:p>
        </w:tc>
      </w:tr>
    </w:tbl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3</w:t>
      </w:r>
    </w:p>
    <w:p w:rsidR="00A91497" w:rsidRPr="00A91497" w:rsidRDefault="00A91497" w:rsidP="00A9149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РАЗРЕЗЫ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Разрезом</w:t>
      </w: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называется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изоб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ажение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пpедмета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мысленно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pассеченного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одной или несколькими плоскостями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pазpезе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показывают то, что расположено в секущей плоскости и что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pасположено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ней.</w:t>
      </w:r>
    </w:p>
    <w:p w:rsidR="00A91497" w:rsidRPr="00A91497" w:rsidRDefault="00A91497" w:rsidP="00A9149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Классификация разрезов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 </w:t>
      </w:r>
      <w:r w:rsidRPr="00A91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числа секущих плоскостей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азpезы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делятся на (Рисунок 4):</w:t>
      </w:r>
    </w:p>
    <w:p w:rsidR="00A91497" w:rsidRPr="00A91497" w:rsidRDefault="00A91497" w:rsidP="00A914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остые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секущей плоскости (Рисунок 6);</w:t>
      </w:r>
    </w:p>
    <w:p w:rsidR="00A91497" w:rsidRPr="00A91497" w:rsidRDefault="00A91497" w:rsidP="00A914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сложные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нескольких секущих плоскостях (Рисунок 9, 10).</w:t>
      </w:r>
    </w:p>
    <w:p w:rsidR="00A91497" w:rsidRDefault="00A91497" w:rsidP="00A914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9113A26" wp14:editId="54F0C19C">
            <wp:extent cx="6731000" cy="2768600"/>
            <wp:effectExtent l="0" t="0" r="0" b="0"/>
            <wp:docPr id="28" name="Рисунок 28" descr="Рисунок 2.4 - Классификация разре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ок 2.4 - Классификация разрез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Рисунок 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Классификация разрезов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Положение секущей плоскости показывают на основном изображении толстой разомкнутой линией (1,5s, где </w:t>
      </w: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s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толщина основной линии). Длина каждого штриха от 8 до 20 мм. Направление взгляда показывают стрелками, перпендикулярными штрихам. Стрелки изображают на расстоянии 2-3 мм от наружных концов штрихов. Имя секущей плоскости обозначается прописными буквами русского алфавита. Буквы наносят параллельно горизонтальным линиям основной надписи независимо от положения стрелок (Рисунки 5, 6, 9, 10, 11).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при выполнении простого разреза, находящегося в проекционной связи с основным изображением, секущая плоскость совпадает с плоскостью симметрии, то секущая плоскость не изображается, а разрез не подписывается. </w:t>
      </w:r>
      <w:r w:rsidRPr="00A91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340568A" wp14:editId="4644AFF1">
            <wp:extent cx="2857500" cy="1854200"/>
            <wp:effectExtent l="0" t="0" r="0" b="0"/>
            <wp:docPr id="27" name="Рисунок 27" descr="Рисунок 2.5 – Обозначения разрезов на черте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2.5 – Обозначения разрезов на чертеж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5 – Обозначения разрезов на чертеже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41E9926" wp14:editId="34E63686">
            <wp:extent cx="6096000" cy="4152900"/>
            <wp:effectExtent l="0" t="0" r="0" b="0"/>
            <wp:docPr id="26" name="Рисунок 26" descr="Рисунок 2.6 – Простой раз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2.6 – Простой разре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6 – Простой разрез: а) — фронтальный; б) — местный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зависимости от </w:t>
      </w:r>
      <w:r w:rsidRPr="00A91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положения секущей плоскости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относительно горизонтальной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оекций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pазделяются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на:</w:t>
      </w:r>
    </w:p>
    <w:p w:rsidR="00A91497" w:rsidRPr="00A91497" w:rsidRDefault="00A91497" w:rsidP="00A914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1497" w:rsidRPr="00A91497" w:rsidRDefault="00A91497" w:rsidP="00A9149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го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изонтальные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— секущая плоскость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паpаллельна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гоpизонтальной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пpоекций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7, б);</w:t>
      </w:r>
    </w:p>
    <w:p w:rsidR="00A91497" w:rsidRPr="00A91497" w:rsidRDefault="00A91497" w:rsidP="00A914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1497" w:rsidRPr="00A91497" w:rsidRDefault="00A91497" w:rsidP="00A9149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тикальные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секущая плоскость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пеpпендикуляpна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гоpизонтальной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пpоекций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7, в, г);</w:t>
      </w:r>
    </w:p>
    <w:p w:rsidR="00A91497" w:rsidRPr="00A91497" w:rsidRDefault="00A91497" w:rsidP="00A914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наклонные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секущая плоскость составляет с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изонтальной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плоскостью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пpоекций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угол, отличный от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пpямого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8).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EC685D9" wp14:editId="2109C780">
            <wp:extent cx="2857500" cy="1778000"/>
            <wp:effectExtent l="0" t="0" r="0" b="0"/>
            <wp:docPr id="25" name="Рисунок 25" descr="Рисунок 2.7 а – Модель детали «Кривошип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2.7 а – Модель детали «Кривошип»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7 а – Модель детали «Кривошип»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37421C" wp14:editId="55EFE005">
            <wp:extent cx="2857500" cy="2019300"/>
            <wp:effectExtent l="0" t="0" r="0" b="0"/>
            <wp:docPr id="24" name="Рисунок 24" descr="Рисунок 2.7 б – Простой горизонтальный раз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 2.7 б – Простой горизонтальный разре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E721454" wp14:editId="2982C5AA">
            <wp:extent cx="2857500" cy="1600200"/>
            <wp:effectExtent l="0" t="0" r="0" b="0"/>
            <wp:docPr id="23" name="Рисунок 23" descr="Рисунок 2.7 б – Простой горизонтальный раз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 2.7 б – Простой горизонтальный разре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7 б – Простой горизонтальный разрез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тикальные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называются:</w:t>
      </w:r>
    </w:p>
    <w:p w:rsidR="00A91497" w:rsidRPr="00A91497" w:rsidRDefault="00A91497" w:rsidP="00A914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1497" w:rsidRPr="00A91497" w:rsidRDefault="00A91497" w:rsidP="00A9149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онтальными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секущая плоскость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паpаллельна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фpонтальной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пpоекций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7, в);</w:t>
      </w:r>
    </w:p>
    <w:p w:rsidR="00A91497" w:rsidRPr="00A91497" w:rsidRDefault="00A91497" w:rsidP="00A914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офильными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секущая плоскость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паpаллельна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пpофильной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пpоекций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7, г).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8E5DB02" wp14:editId="450FA3CF">
            <wp:extent cx="2857500" cy="2133600"/>
            <wp:effectExtent l="0" t="0" r="0" b="0"/>
            <wp:docPr id="22" name="Рисунок 22" descr="Рисунок 2.7 в – Простой фронтальный раз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2.7 в – Простой фронтальный разрез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40C0C00" wp14:editId="5D3520A2">
            <wp:extent cx="2857500" cy="1498600"/>
            <wp:effectExtent l="0" t="0" r="0" b="6350"/>
            <wp:docPr id="21" name="Рисунок 21" descr="Рисунок 2.7 в – Простой фронтальный раз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 2.7 в – Простой фронтальный разрез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7 в – Простой фронтальный разрез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A31CF60" wp14:editId="43ED7EA0">
            <wp:extent cx="2857500" cy="2120900"/>
            <wp:effectExtent l="0" t="0" r="0" b="0"/>
            <wp:docPr id="20" name="Рисунок 20" descr="Рисунок 2.7 г – Простой профильный раз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унок 2.7 г – Простой профильный разрез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91F976C" wp14:editId="1C00AECD">
            <wp:extent cx="2857500" cy="2082800"/>
            <wp:effectExtent l="0" t="0" r="0" b="0"/>
            <wp:docPr id="19" name="Рисунок 19" descr="Рисунок 2.7 г – Простой профильный раз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нок 2.7 г – Простой профильный разрез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7 г – Простой профильный разрез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13EBA86" wp14:editId="3E868E88">
            <wp:extent cx="2603500" cy="2679700"/>
            <wp:effectExtent l="0" t="0" r="6350" b="6350"/>
            <wp:docPr id="18" name="Рисунок 18" descr="Рисунок 2.8 – Наклонный раз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унок 2.8 – Наклонный разрез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B16C7CE" wp14:editId="43FBFFDB">
            <wp:extent cx="2844800" cy="2641600"/>
            <wp:effectExtent l="0" t="0" r="0" b="6350"/>
            <wp:docPr id="17" name="Рисунок 17" descr="Рисунок 2.8 – Наклонный раз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ок 2.8 – Наклонный разрез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8 – Наклонный разрез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Сложные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азpезы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делятся на:</w:t>
      </w:r>
    </w:p>
    <w:p w:rsidR="00A91497" w:rsidRPr="00A91497" w:rsidRDefault="00A91497" w:rsidP="00A914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1497" w:rsidRPr="00A91497" w:rsidRDefault="00A91497" w:rsidP="00A9149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ступенчатые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секущие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аллельны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(ступенчатые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гоpизонтальные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ступенчатые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фpонтальные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(Рисунок 9);</w:t>
      </w:r>
    </w:p>
    <w:p w:rsidR="00A91497" w:rsidRPr="00A91497" w:rsidRDefault="00A91497" w:rsidP="00A914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ломаные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секущие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есекаются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10).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5933C1E" wp14:editId="6C761048">
            <wp:extent cx="5715000" cy="2679700"/>
            <wp:effectExtent l="0" t="0" r="0" b="6350"/>
            <wp:docPr id="16" name="Рисунок 16" descr="Рисунок 2.9 – Сложный - Ступенчатый раз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исунок 2.9 – Сложный - Ступенчатый разрез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Рисунок 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– Сложный — Ступенчатый разрез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85B7BA4" wp14:editId="38A30231">
            <wp:extent cx="5715000" cy="1892300"/>
            <wp:effectExtent l="0" t="0" r="0" b="0"/>
            <wp:docPr id="15" name="Рисунок 15" descr="Рисунок 2.10 – Сложный - Ломаный раз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унок 2.10 – Сложный - Ломаный разрез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10 – Сложный — Ломаный разрез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азpезы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называются:</w:t>
      </w:r>
    </w:p>
    <w:p w:rsidR="00A91497" w:rsidRPr="00A91497" w:rsidRDefault="00A91497" w:rsidP="00A914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1497" w:rsidRPr="00A91497" w:rsidRDefault="00A91497" w:rsidP="00A9149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одольными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секущие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напpавлены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вдоль длины или высоты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пpедмета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7, в);</w:t>
      </w:r>
    </w:p>
    <w:p w:rsidR="00A91497" w:rsidRPr="00A91497" w:rsidRDefault="00A91497" w:rsidP="00A9149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попе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ечными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секущие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напpавлены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пеpпендикуляpно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длине или высоте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пpедмета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7,г).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5ECDB8E" wp14:editId="1AAFBB11">
            <wp:simplePos x="0" y="0"/>
            <wp:positionH relativeFrom="column">
              <wp:posOffset>397510</wp:posOffset>
            </wp:positionH>
            <wp:positionV relativeFrom="paragraph">
              <wp:posOffset>569595</wp:posOffset>
            </wp:positionV>
            <wp:extent cx="2200275" cy="2283460"/>
            <wp:effectExtent l="0" t="0" r="9525" b="2540"/>
            <wp:wrapThrough wrapText="bothSides">
              <wp:wrapPolygon edited="0">
                <wp:start x="0" y="0"/>
                <wp:lineTo x="0" y="21444"/>
                <wp:lineTo x="21506" y="21444"/>
                <wp:lineTo x="21506" y="0"/>
                <wp:lineTo x="0" y="0"/>
              </wp:wrapPolygon>
            </wp:wrapThrough>
            <wp:docPr id="14" name="Рисунок 14" descr="Рисунок 2.11 а – Примеры выполнения разре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исунок 2.11 а – Примеры выполнения разрезов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азpезы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служащие для выяснения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устpойства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пpедмета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лишь в отдельных,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огpаниченных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местах, называются </w:t>
      </w: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местными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DBE8557" wp14:editId="010E20F8">
            <wp:extent cx="4483100" cy="2298700"/>
            <wp:effectExtent l="0" t="0" r="0" b="6350"/>
            <wp:docPr id="13" name="Рисунок 13" descr="Рисунок 2.11 а – Примеры выполнения разре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унок 2.11 а – Примеры выполнения разрезов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11 а – Примеры выполнения разрезов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5265ED0" wp14:editId="7C1008A2">
            <wp:extent cx="3577247" cy="2114550"/>
            <wp:effectExtent l="0" t="0" r="4445" b="0"/>
            <wp:docPr id="12" name="Рисунок 12" descr="Рисунок 2.11 б – Примеры выполнения разрезов, совмещенных с ви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исунок 2.11 б – Примеры выполнения разрезов, совмещенных с видам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84" cy="211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11 б – Примеры выполнения разрезов, совмещенных с видами</w:t>
      </w:r>
    </w:p>
    <w:p w:rsidR="00A91497" w:rsidRPr="00A91497" w:rsidRDefault="00A91497" w:rsidP="00A9149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Выполнение разрезов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изонтальные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фpонтальные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пpофильные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быть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pасположены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месте соответствующих основных видов (Рисунок 11, а, б).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Часть вида и часть соответствующего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допускается соединять,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pазделяя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сплошной волнистой линией или линией с изломом (Рисунок 11, б). Она не должна совпадать с какими-либо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угими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линиями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изобpажения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соединяются половина вида и половина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каждый из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котоpых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симметpичной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фигуpой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pазделяющей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линией служит ось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симметpии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(Рисунки 11, б; 12).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ельзя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соединять половину вида с половиной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если какая-либо линия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изобpажения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совпадает с осевой (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напpимеp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pебpо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В этом случае соединяют большую часть вида с меньшей частью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большую часть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меньшей частью вида.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Допускается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азделение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вида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штpихпунктиpной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тонкой линией, совпадающей со следом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симметpии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всего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пpедмета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лишь его части, если она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пpедставляет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тело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вpащения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соединении половины вида с половиной соответствующего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pасполагают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спpава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веpтикальной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оси и снизу от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гоpизонтальной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12). </w:t>
      </w:r>
      <w:r w:rsidRPr="00A91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1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A91497" w:rsidRPr="00A91497" w:rsidRDefault="00A91497" w:rsidP="00BE2C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E281C1A" wp14:editId="33CABEA1">
            <wp:extent cx="5245100" cy="2946400"/>
            <wp:effectExtent l="0" t="0" r="0" b="6350"/>
            <wp:docPr id="11" name="Рисунок 11" descr="соединение половины вида и половины pазp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оединение половины вида и половины pазpеза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12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3FFEE46" wp14:editId="0C64A75C">
            <wp:extent cx="4826000" cy="1917700"/>
            <wp:effectExtent l="0" t="0" r="0" b="6350"/>
            <wp:docPr id="10" name="Рисунок 10" descr="Местные разре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естные разрезы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Рисунок 13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Местные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азpезы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выделяются на виде сплошными волнистыми линиями. Эти линии не должны совпадать с какими-либо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угими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линиями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изобpажения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13).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сечения, полученные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pазличными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секущими плоскостями при выполнении </w:t>
      </w: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сложного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pазделяют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одну от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дpугой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никакими линиями.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Сложный ступенчатый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азpез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помещают на месте соответствующего основного вида (Рисунок 9) или в любом месте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чеpтежа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ломаных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pазpезах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секущие плоскости условно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повоpачивают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совмещения в одну плоскость,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напpавление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повоpота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не совпадать с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напpавлением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взгляда. Если совмещенные плоскости окажутся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аллельными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одной из основных плоскостей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пpоекций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ломаный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допускается помещать на месте соответствующего вида (Рисунок 10).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повоpоте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секущей плоскости элементы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пpедмета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pасположенные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ней,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вычеpчивают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как они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пpоециpуются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соответствующую плоскость, с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котоpой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пpоизводится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совмещение. Допускается соединение ступенчатого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ломаным в виде одного сложного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1497" w:rsidRPr="00A91497" w:rsidRDefault="00A91497" w:rsidP="00A914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lastRenderedPageBreak/>
        <w:t>СЕЧЕНИЯ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C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ечением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называется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изобpажение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фигуpы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получающейся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пpи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мысленном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pассечении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пpедмета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секущей плоскостью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(Рисунок 14).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H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сечении показывают только то, что попадает 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непосpедственно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секущую плоскость.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Секущие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так, чтобы получить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ноpмальные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попеpечные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сечения.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Сечения делятся 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91497" w:rsidRPr="00A91497" w:rsidRDefault="00A91497" w:rsidP="00A91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сечения, входящие в состав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(Рисунок 15, а);</w:t>
      </w:r>
    </w:p>
    <w:p w:rsidR="00A91497" w:rsidRPr="00A91497" w:rsidRDefault="00A91497" w:rsidP="00A9149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сечения, не входящие в состав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Рисунок 15.б).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входящие в состав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pазpеза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делятся на:</w:t>
      </w:r>
    </w:p>
    <w:p w:rsidR="00A91497" w:rsidRPr="00A91497" w:rsidRDefault="00A91497" w:rsidP="00A914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вынесенные</w:t>
      </w:r>
      <w:r w:rsidR="00BE2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(Рисунки 1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4, а; 14, в; 15, б; 16, а; 17, а; 18);</w:t>
      </w:r>
    </w:p>
    <w:p w:rsidR="00A91497" w:rsidRPr="00A91497" w:rsidRDefault="00A91497" w:rsidP="00A9149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наложенные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(Рисунки 14, б; 16, б; 17, б).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Вынесенные сечения являются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едпочтительными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допускается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pасполагать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pазpыве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частями одного и того же вида, на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пpодолжении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следа секущей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симметpичной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фигуpе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сечения, на любом месте поля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чеpтежа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с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повоpотом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(Рисунки 14, а, в; 15, б; 16, а; 17, а; 18, а).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изображения следа секущей плоскости на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теже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пpименяют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толстую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pазомкнутую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линию со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стpелками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указывающими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напpавление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взгляда, и обозначают секущую плоскость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пpописными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буквами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pусского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алфавита. Сечение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овождается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надписью по типу А-А (Рисунок 14).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Соотношение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азмеpов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стpелок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штpихов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pазомкнутой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линии должны соответствовать Рисунку 14.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ачальный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конечный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штpихи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должны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пеpесекать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контуp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изобpажения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Буквенные обозначения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исваивают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алфавитном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поpядке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повтоpения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и, как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пpавило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без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пpопусков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азмеp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шpифта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буквенных обозначений должен быть больше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pазмеpа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цифp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pазмеpных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чисел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пpиблизительно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два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Буквенное обозначение </w:t>
      </w:r>
      <w:proofErr w:type="spellStart"/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асполагают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паpаллельно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основной надписи, независимо от положения секущей плоскости.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общем случае, когда сечение располагается на любом свободном 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месте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чертеже, положение следа секущей плоскости изображается, как указано выше, а изображение сечения сопровождается надписью, соответствующей имени секущей плоскости (рисунок 14, а; 15, б).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случаях, показанных на Рисунках: 14, б, в; 17, а, б; 18, а (сечения наложенные; сечения, выполненные в разрыве вида; сечения, выполненные на продолжении следа секущей плоскости) — для</w:t>
      </w:r>
      <w:r w:rsidRPr="00A91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симмет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ичных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сечений 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 секущей плоскости не изображают и сечение надписью не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сопpовождают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C75232E" wp14:editId="04D35C61">
            <wp:extent cx="5969000" cy="2641600"/>
            <wp:effectExtent l="0" t="0" r="0" b="6350"/>
            <wp:docPr id="9" name="Рисунок 9" descr="вынесенное с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вынесенное сечение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14</w:t>
      </w:r>
      <w:r w:rsidRPr="00A91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1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B8B9F59" wp14:editId="766CF651">
            <wp:extent cx="5321300" cy="2374900"/>
            <wp:effectExtent l="0" t="0" r="0" b="6350"/>
            <wp:docPr id="8" name="Рисунок 8" descr="Наложенное с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Наложенное сечение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14 </w:t>
      </w:r>
      <w:r w:rsidRPr="00A91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D326B39" wp14:editId="224855D5">
            <wp:extent cx="4343400" cy="1460500"/>
            <wp:effectExtent l="0" t="0" r="0" b="6350"/>
            <wp:docPr id="7" name="Рисунок 7" descr="сечение, выполненное в разрыве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ечение, выполненное в разрыве вида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14 </w:t>
      </w:r>
      <w:proofErr w:type="gramStart"/>
      <w:r w:rsidRPr="00A91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</w:t>
      </w:r>
      <w:proofErr w:type="gramEnd"/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Для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91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несиммет</w:t>
      </w:r>
      <w:proofErr w:type="gramStart"/>
      <w:r w:rsidRPr="00A91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ичных</w:t>
      </w:r>
      <w:proofErr w:type="spellEnd"/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91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сечений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pасположенных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pазpыве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наложенных, след секущей плоскости изображают, но буквами не сопровождают (Рисунок 16).  Сечение также не сопровождают надписью.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Контур вынесенного сечения выполняется толстой сплошной линией (основной линией), а контур наложенного сечения — тонкой сплошной линией, при этом контур вида не прерывается.</w:t>
      </w:r>
    </w:p>
    <w:tbl>
      <w:tblPr>
        <w:tblW w:w="5000" w:type="pct"/>
        <w:tblBorders>
          <w:top w:val="single" w:sz="6" w:space="0" w:color="2F7CD9"/>
          <w:left w:val="single" w:sz="6" w:space="0" w:color="2F7CD9"/>
          <w:bottom w:val="single" w:sz="6" w:space="0" w:color="2F7CD9"/>
          <w:right w:val="single" w:sz="6" w:space="0" w:color="2F7C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5474"/>
      </w:tblGrid>
      <w:tr w:rsidR="00A91497" w:rsidRPr="00A91497" w:rsidTr="00BE2C61">
        <w:tc>
          <w:tcPr>
            <w:tcW w:w="5000" w:type="pct"/>
            <w:gridSpan w:val="2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10469F4" wp14:editId="11618F2F">
                  <wp:extent cx="5130800" cy="2771775"/>
                  <wp:effectExtent l="0" t="0" r="0" b="9525"/>
                  <wp:docPr id="6" name="Рисунок 6" descr="Вынесенное сеч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Вынесенное сеч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97" w:rsidRPr="00A91497" w:rsidTr="00BE2C61"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</w:tbl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15</w:t>
      </w:r>
    </w:p>
    <w:tbl>
      <w:tblPr>
        <w:tblW w:w="5000" w:type="pct"/>
        <w:tblBorders>
          <w:top w:val="single" w:sz="6" w:space="0" w:color="2F7CD9"/>
          <w:left w:val="single" w:sz="6" w:space="0" w:color="2F7CD9"/>
          <w:bottom w:val="single" w:sz="6" w:space="0" w:color="2F7CD9"/>
          <w:right w:val="single" w:sz="6" w:space="0" w:color="2F7C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5474"/>
      </w:tblGrid>
      <w:tr w:rsidR="00A91497" w:rsidRPr="00A91497" w:rsidTr="00BE2C61"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20C39D5" wp14:editId="1A138144">
                  <wp:extent cx="2857500" cy="1695450"/>
                  <wp:effectExtent l="0" t="0" r="0" b="0"/>
                  <wp:docPr id="5" name="Рисунок 5" descr="https://cadinstructor.org/wp-content/uploads/2020/07/3_15_lec_color1-300x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cadinstructor.org/wp-content/uploads/2020/07/3_15_lec_color1-300x1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952BBDB" wp14:editId="75FDBC90">
                  <wp:extent cx="1838325" cy="1619250"/>
                  <wp:effectExtent l="0" t="0" r="9525" b="0"/>
                  <wp:docPr id="4" name="Рисунок 4" descr="https://cadinstructor.org/wp-content/uploads/2020/07/3_15_lec_color2-300x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cadinstructor.org/wp-content/uploads/2020/07/3_15_lec_color2-300x2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62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97" w:rsidRPr="00A91497" w:rsidTr="00BE2C61">
        <w:trPr>
          <w:trHeight w:val="480"/>
        </w:trPr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</w:tbl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16 </w:t>
      </w: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3A6BD21" wp14:editId="1EB26625">
            <wp:extent cx="4991100" cy="2819400"/>
            <wp:effectExtent l="0" t="0" r="0" b="0"/>
            <wp:docPr id="3" name="Рисунок 3" descr="сечение, выполненное в разрыве в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ечение, выполненное в разрыве вида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17 </w:t>
      </w:r>
      <w:r w:rsidRPr="00A91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а, </w:t>
      </w:r>
      <w:proofErr w:type="gramStart"/>
      <w:r w:rsidRPr="00A91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</w:t>
      </w:r>
      <w:proofErr w:type="gramEnd"/>
    </w:p>
    <w:tbl>
      <w:tblPr>
        <w:tblW w:w="5000" w:type="pct"/>
        <w:tblBorders>
          <w:top w:val="single" w:sz="6" w:space="0" w:color="2F7CD9"/>
          <w:left w:val="single" w:sz="6" w:space="0" w:color="2F7CD9"/>
          <w:bottom w:val="single" w:sz="6" w:space="0" w:color="2F7CD9"/>
          <w:right w:val="single" w:sz="6" w:space="0" w:color="2F7CD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3"/>
        <w:gridCol w:w="5474"/>
      </w:tblGrid>
      <w:tr w:rsidR="00A91497" w:rsidRPr="00A91497" w:rsidTr="00BE2C61">
        <w:tc>
          <w:tcPr>
            <w:tcW w:w="5000" w:type="pct"/>
            <w:gridSpan w:val="2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BE2C61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B0C1976" wp14:editId="0A399C36">
                  <wp:extent cx="4864100" cy="3886200"/>
                  <wp:effectExtent l="0" t="0" r="0" b="0"/>
                  <wp:docPr id="2" name="Рисунок 2" descr="сечения, выполненные на продолжении следа секущей плоск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сечения, выполненные на продолжении следа секущей плоск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497" w:rsidRPr="00A91497" w:rsidTr="00BE2C61"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00" w:type="pct"/>
            <w:tcBorders>
              <w:top w:val="single" w:sz="6" w:space="0" w:color="2F7CD9"/>
              <w:left w:val="single" w:sz="6" w:space="0" w:color="2F7CD9"/>
              <w:bottom w:val="single" w:sz="6" w:space="0" w:color="2F7CD9"/>
              <w:right w:val="single" w:sz="6" w:space="0" w:color="2F7CD9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A91497" w:rsidRPr="00A91497" w:rsidRDefault="00A91497" w:rsidP="00A91497">
            <w:pPr>
              <w:spacing w:after="37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14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</w:tbl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Рисунок 2.18</w:t>
      </w:r>
      <w:r w:rsidRPr="00A9149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149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      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Для нескольких одинаковых сечений одного и того же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едмета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линии сечения обозначают одной буквой 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вычеpчивают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 сечение. Если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</w:t>
      </w:r>
      <w:proofErr w:type="gram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секущие плоскости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напpавлены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 </w:t>
      </w:r>
      <w:proofErr w:type="spellStart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pазными</w:t>
      </w:r>
      <w:proofErr w:type="spellEnd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углами, то знак «Повернуто» не наносят (Рисунок 19).</w:t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F3DBC00" wp14:editId="4E621774">
            <wp:extent cx="6057900" cy="3670300"/>
            <wp:effectExtent l="0" t="0" r="0" b="6350"/>
            <wp:docPr id="1" name="Рисунок 1" descr="несколько одинаковых сечений одного и того же пpедм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есколько одинаковых сечений одного и того же пpедмета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497" w:rsidRPr="00A91497" w:rsidRDefault="00A91497" w:rsidP="00A914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Рисунок </w:t>
      </w:r>
      <w:bookmarkStart w:id="0" w:name="_GoBack"/>
      <w:bookmarkEnd w:id="0"/>
      <w:r w:rsidRPr="00A914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</w:p>
    <w:p w:rsidR="005C4C00" w:rsidRPr="00A91497" w:rsidRDefault="005C4C00" w:rsidP="00A914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4C00" w:rsidRPr="00A91497" w:rsidSect="00A9149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83F"/>
    <w:multiLevelType w:val="multilevel"/>
    <w:tmpl w:val="F910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26EDC"/>
    <w:multiLevelType w:val="multilevel"/>
    <w:tmpl w:val="8934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814FB"/>
    <w:multiLevelType w:val="multilevel"/>
    <w:tmpl w:val="323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770670"/>
    <w:multiLevelType w:val="multilevel"/>
    <w:tmpl w:val="5070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D4DDE"/>
    <w:multiLevelType w:val="multilevel"/>
    <w:tmpl w:val="017C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AD6F5C"/>
    <w:multiLevelType w:val="multilevel"/>
    <w:tmpl w:val="F71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F1F1F"/>
    <w:multiLevelType w:val="multilevel"/>
    <w:tmpl w:val="6364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D91F3C"/>
    <w:multiLevelType w:val="multilevel"/>
    <w:tmpl w:val="F17A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9837D6"/>
    <w:multiLevelType w:val="multilevel"/>
    <w:tmpl w:val="BC0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EC6270"/>
    <w:multiLevelType w:val="multilevel"/>
    <w:tmpl w:val="47D2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901DE2"/>
    <w:multiLevelType w:val="multilevel"/>
    <w:tmpl w:val="56B8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E251BF1"/>
    <w:multiLevelType w:val="multilevel"/>
    <w:tmpl w:val="4160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F6"/>
    <w:rsid w:val="002752F6"/>
    <w:rsid w:val="005C4C00"/>
    <w:rsid w:val="00A91497"/>
    <w:rsid w:val="00B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1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14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1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14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1497"/>
    <w:rPr>
      <w:b/>
      <w:bCs/>
    </w:rPr>
  </w:style>
  <w:style w:type="character" w:styleId="a6">
    <w:name w:val="Emphasis"/>
    <w:basedOn w:val="a0"/>
    <w:uiPriority w:val="20"/>
    <w:qFormat/>
    <w:rsid w:val="00A914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1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1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914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4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1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14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1497"/>
    <w:rPr>
      <w:b/>
      <w:bCs/>
    </w:rPr>
  </w:style>
  <w:style w:type="character" w:styleId="a6">
    <w:name w:val="Emphasis"/>
    <w:basedOn w:val="a0"/>
    <w:uiPriority w:val="20"/>
    <w:qFormat/>
    <w:rsid w:val="00A914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9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0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2021-09-26T08:33:00Z</dcterms:created>
  <dcterms:modified xsi:type="dcterms:W3CDTF">2021-09-26T08:46:00Z</dcterms:modified>
</cp:coreProperties>
</file>