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B2DEB">
      <w:pPr>
        <w:pStyle w:val="printredaction-line"/>
        <w:divId w:val="875653111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16 фев 2019</w:t>
      </w:r>
    </w:p>
    <w:p w:rsidR="00000000" w:rsidRDefault="009B2DEB">
      <w:pPr>
        <w:divId w:val="16610329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Минобрнауки России от 12.03.2014 № 177</w:t>
      </w:r>
    </w:p>
    <w:p w:rsidR="00000000" w:rsidRDefault="009B2DEB">
      <w:pPr>
        <w:pStyle w:val="2"/>
        <w:divId w:val="87565311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</w:t>
      </w:r>
      <w:r>
        <w:rPr>
          <w:rFonts w:ascii="Georgia" w:eastAsia="Times New Roman" w:hAnsi="Georgia"/>
        </w:rPr>
        <w:t>ществляющие образовательную деятельность по образовательным программам соответствующих уровня и направленности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842MV/" w:history="1">
        <w:r>
          <w:rPr>
            <w:rStyle w:val="a4"/>
            <w:rFonts w:ascii="Georgia" w:hAnsi="Georgia"/>
          </w:rPr>
          <w:t>пунктом 15 части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5" w:anchor="/document/99/902389617/XA00MAO2NB/" w:history="1">
        <w:r>
          <w:rPr>
            <w:rStyle w:val="a4"/>
            <w:rFonts w:ascii="Georgia" w:hAnsi="Georgia"/>
          </w:rPr>
          <w:t>частью 9 статьи 34 Федерального закона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ст.7598; 2013, № 19, ст.2326; № </w:t>
      </w:r>
      <w:r>
        <w:rPr>
          <w:rFonts w:ascii="Georgia" w:hAnsi="Georgia"/>
        </w:rPr>
        <w:t>23, ст.2878; № 27, ст.3462; № 30, ст.4036; № 48, ст.6165; 2014, № 6, ст.562, ст.566),</w:t>
      </w:r>
      <w:r>
        <w:rPr>
          <w:rFonts w:ascii="Georgia" w:hAnsi="Georgia"/>
        </w:rPr>
        <w:t xml:space="preserve"> </w:t>
      </w:r>
      <w:hyperlink r:id="rId6" w:anchor="/document/99/499024581/XA00M9G2N4/" w:history="1">
        <w:r>
          <w:rPr>
            <w:rStyle w:val="a4"/>
            <w:rFonts w:ascii="Georgia" w:hAnsi="Georgia"/>
          </w:rPr>
          <w:t>подпунктами 5.2.19</w:t>
        </w:r>
      </w:hyperlink>
      <w:r>
        <w:rPr>
          <w:rFonts w:ascii="Georgia" w:hAnsi="Georgia"/>
        </w:rPr>
        <w:t>-</w:t>
      </w:r>
      <w:hyperlink r:id="rId7" w:anchor="/document/99/499024581/XA00MAK2NA/" w:history="1">
        <w:r>
          <w:rPr>
            <w:rStyle w:val="a4"/>
            <w:rFonts w:ascii="Georgia" w:hAnsi="Georgia"/>
          </w:rPr>
          <w:t>5.2.21 Положения о Министерстве образования и науки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8" w:anchor="/document/99/499024581/XA00M1S2LR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3 июня 2013 года № 466</w:t>
        </w:r>
      </w:hyperlink>
      <w:r>
        <w:rPr>
          <w:rFonts w:ascii="Georgia" w:hAnsi="Georgia"/>
        </w:rPr>
        <w:t xml:space="preserve"> (Собра</w:t>
      </w:r>
      <w:r>
        <w:rPr>
          <w:rFonts w:ascii="Georgia" w:hAnsi="Georgia"/>
        </w:rPr>
        <w:t>ние законодательства Российской Федерации, 2013, № 23, ст.2923; № 33, ст.4386; № 37, ст.4702; 2014, № 2, ст.126; № 6, ст.582)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Утвердить прилагаемые </w:t>
      </w:r>
      <w:hyperlink r:id="rId9" w:anchor="/document/99/499084705/XA00LTK2M0/" w:tgtFrame="_self" w:history="1">
        <w:r>
          <w:rPr>
            <w:rStyle w:val="a4"/>
            <w:rFonts w:ascii="Georgia" w:hAnsi="Georgia"/>
          </w:rPr>
          <w:t>Пор</w:t>
        </w:r>
        <w:r>
          <w:rPr>
            <w:rStyle w:val="a4"/>
            <w:rFonts w:ascii="Georgia" w:hAnsi="Georgia"/>
          </w:rPr>
          <w:t>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</w:t>
        </w:r>
        <w:r>
          <w:rPr>
            <w:rStyle w:val="a4"/>
            <w:rFonts w:ascii="Georgia" w:hAnsi="Georgia"/>
          </w:rPr>
          <w:t>вательную деятельность по образовательным программам соответствующих уровня и направленности</w:t>
        </w:r>
      </w:hyperlink>
      <w:r>
        <w:rPr>
          <w:rFonts w:ascii="Georgia" w:hAnsi="Georgia"/>
        </w:rPr>
        <w:t>.</w:t>
      </w:r>
    </w:p>
    <w:p w:rsidR="00000000" w:rsidRDefault="009B2DEB">
      <w:pPr>
        <w:spacing w:after="223"/>
        <w:divId w:val="804813774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Д.Ливано</w:t>
      </w:r>
      <w:r>
        <w:rPr>
          <w:rFonts w:ascii="Georgia" w:hAnsi="Georgia"/>
        </w:rPr>
        <w:t>в</w:t>
      </w:r>
    </w:p>
    <w:p w:rsidR="00000000" w:rsidRDefault="009B2DEB">
      <w:pPr>
        <w:spacing w:after="223"/>
        <w:jc w:val="both"/>
        <w:divId w:val="109080736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8 мая 2014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3221</w:t>
      </w:r>
      <w:r>
        <w:rPr>
          <w:rFonts w:ascii="Helvetica" w:hAnsi="Helvetica" w:cs="Helvetica"/>
          <w:sz w:val="20"/>
          <w:szCs w:val="20"/>
        </w:rPr>
        <w:t>5</w:t>
      </w:r>
    </w:p>
    <w:p w:rsidR="00000000" w:rsidRDefault="009B2DEB">
      <w:pPr>
        <w:pStyle w:val="align-right"/>
        <w:divId w:val="749237671"/>
        <w:rPr>
          <w:rFonts w:ascii="Georgia" w:hAnsi="Georgia"/>
        </w:rPr>
      </w:pPr>
      <w:r>
        <w:rPr>
          <w:rFonts w:ascii="Georgia" w:hAnsi="Georgia"/>
        </w:rPr>
        <w:t>Приложени</w:t>
      </w:r>
      <w:r>
        <w:rPr>
          <w:rFonts w:ascii="Georgia" w:hAnsi="Georgia"/>
        </w:rPr>
        <w:t>е</w:t>
      </w:r>
    </w:p>
    <w:p w:rsidR="00000000" w:rsidRDefault="009B2DEB">
      <w:pPr>
        <w:divId w:val="190460560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Порядок и условия о</w:t>
      </w:r>
      <w:r>
        <w:rPr>
          <w:rStyle w:val="docsupplement-name"/>
          <w:rFonts w:ascii="Georgia" w:eastAsia="Times New Roman" w:hAnsi="Georgia"/>
        </w:rPr>
        <w:t xml:space="preserve">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</w:t>
      </w:r>
      <w:r>
        <w:rPr>
          <w:rStyle w:val="docsupplement-name"/>
          <w:rFonts w:ascii="Georgia" w:eastAsia="Times New Roman" w:hAnsi="Georgia"/>
        </w:rPr>
        <w:lastRenderedPageBreak/>
        <w:t>деятел</w:t>
      </w:r>
      <w:r>
        <w:rPr>
          <w:rStyle w:val="docsupplement-name"/>
          <w:rFonts w:ascii="Georgia" w:eastAsia="Times New Roman" w:hAnsi="Georgia"/>
        </w:rPr>
        <w:t>ьность по образовательным программам соответствующих уровня и направленност</w:t>
      </w:r>
      <w:r>
        <w:rPr>
          <w:rStyle w:val="docsupplement-name"/>
          <w:rFonts w:ascii="Georgia" w:eastAsia="Times New Roman" w:hAnsi="Georgia"/>
        </w:rPr>
        <w:t>и</w:t>
      </w:r>
    </w:p>
    <w:p w:rsidR="00000000" w:rsidRDefault="009B2DEB">
      <w:pPr>
        <w:divId w:val="129868522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</w:t>
      </w:r>
      <w:r>
        <w:rPr>
          <w:rFonts w:ascii="Georgia" w:hAnsi="Georgia"/>
        </w:rPr>
        <w:t>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</w:t>
      </w:r>
      <w:r>
        <w:rPr>
          <w:rFonts w:ascii="Georgia" w:hAnsi="Georgia"/>
        </w:rPr>
        <w:t xml:space="preserve">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</w:t>
      </w:r>
      <w:r>
        <w:rPr>
          <w:rFonts w:ascii="Georgia" w:hAnsi="Georgia"/>
        </w:rPr>
        <w:t>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по инициативе совершеннолетнего обучающегося или родителей </w:t>
      </w:r>
      <w:r>
        <w:rPr>
          <w:rFonts w:ascii="Georgia" w:hAnsi="Georgia"/>
        </w:rPr>
        <w:t>(законных представителей) несовершеннолетнего обучающегося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</w:t>
      </w:r>
      <w:r>
        <w:rPr>
          <w:rFonts w:ascii="Georgia" w:hAnsi="Georgia"/>
        </w:rPr>
        <w:t>ствующей образовательной программе или истечения срока действия государственной аккредитации по соответствующей образовательной программе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приостановления действия лицензии, приостановления действия государственной аккредитации полностью или в от</w:t>
      </w:r>
      <w:r>
        <w:rPr>
          <w:rFonts w:ascii="Georgia" w:hAnsi="Georgia"/>
        </w:rPr>
        <w:t>ношении отдельных уровней образования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</w:t>
      </w:r>
      <w:r>
        <w:rPr>
          <w:rFonts w:ascii="Georgia" w:hAnsi="Georgia"/>
        </w:rPr>
        <w:t>олетних обучающихся с письменного согласия их родителей (законных представителей)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3. Действие настоящего Порядка не распространяется на специальные учебно-воспитательные образовательные организации для обучающихся с девиантным (общественно опасным) поведе</w:t>
      </w:r>
      <w:r>
        <w:rPr>
          <w:rFonts w:ascii="Georgia" w:hAnsi="Georgia"/>
        </w:rPr>
        <w:t>нием и общеобразовательные организации при исправительных учреждениях уголовно-исполнительной системы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4. Перевод обучающихся не зависит от периода (времени) учебного года</w:t>
      </w:r>
      <w:r>
        <w:rPr>
          <w:rFonts w:ascii="Georgia" w:hAnsi="Georgia"/>
        </w:rPr>
        <w:t>.</w:t>
      </w:r>
    </w:p>
    <w:p w:rsidR="00000000" w:rsidRDefault="009B2DEB">
      <w:pPr>
        <w:divId w:val="27895142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Перевод совершеннолетнего обучающегося по его инициативе или несовершеннолетнег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 обучающегося по инициативе его родителей (законных представителей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</w:t>
      </w:r>
      <w:r>
        <w:rPr>
          <w:rFonts w:ascii="Georgia" w:hAnsi="Georgia"/>
        </w:rPr>
        <w:t>ся или родители (законные представители) несовершеннолетнего обучающегося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осуществляют выбор принимающей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обращаются в выбранную организацию с запросом о наличии свободных мест, в том числе с использованием сети Интернет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отсутствии сво</w:t>
      </w:r>
      <w:r>
        <w:rPr>
          <w:rFonts w:ascii="Georgia" w:hAnsi="Georgia"/>
        </w:rPr>
        <w:t>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обращ</w:t>
      </w:r>
      <w:r>
        <w:rPr>
          <w:rFonts w:ascii="Georgia" w:hAnsi="Georgia"/>
        </w:rPr>
        <w:t>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6. В заявлении совершеннолетнего о</w:t>
      </w:r>
      <w:r>
        <w:rPr>
          <w:rFonts w:ascii="Georgia" w:hAnsi="Georgia"/>
        </w:rPr>
        <w:t>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</w:t>
      </w:r>
      <w:r>
        <w:rPr>
          <w:rFonts w:ascii="Georgia" w:hAnsi="Georgia"/>
        </w:rPr>
        <w:t>: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а) фамилия, имя, отчество (при наличии) обучающегося</w:t>
      </w:r>
      <w:r>
        <w:rPr>
          <w:rFonts w:ascii="Georgia" w:hAnsi="Georgia"/>
        </w:rPr>
        <w:t>;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б) дата рождения</w:t>
      </w:r>
      <w:r>
        <w:rPr>
          <w:rFonts w:ascii="Georgia" w:hAnsi="Georgia"/>
        </w:rPr>
        <w:t>;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в) класс и профиль обучения</w:t>
      </w:r>
      <w:r>
        <w:rPr>
          <w:rFonts w:ascii="Georgia" w:hAnsi="Georgia"/>
        </w:rPr>
        <w:t xml:space="preserve"> (при наличии)</w:t>
      </w:r>
      <w:r>
        <w:rPr>
          <w:rFonts w:ascii="Georgia" w:hAnsi="Georgia"/>
        </w:rPr>
        <w:t>;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7. На основании заявления совершеннолетнего обучающегося или родителей (законных представителей</w:t>
      </w:r>
      <w:r>
        <w:rPr>
          <w:rFonts w:ascii="Georgia" w:hAnsi="Georgia"/>
        </w:rPr>
        <w:t>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8. Исходная организация выдает соверш</w:t>
      </w:r>
      <w:r>
        <w:rPr>
          <w:rFonts w:ascii="Georgia" w:hAnsi="Georgia"/>
        </w:rPr>
        <w:t>еннолетнему обучающемуся или родителям (законным представителям) несовершеннолетнего обучающегося следующие документы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личное дело обучающегося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документы, содержащие информацию об успеваемости обучающегося в текущем учебном году (выписка из классного жу</w:t>
      </w:r>
      <w:r>
        <w:rPr>
          <w:rFonts w:ascii="Georgia" w:hAnsi="Georgia"/>
        </w:rPr>
        <w:t>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9. Требование предоставления других документов в качестве основания для зачисления обучающихс</w:t>
      </w:r>
      <w:r>
        <w:rPr>
          <w:rFonts w:ascii="Georgia" w:hAnsi="Georgia"/>
        </w:rPr>
        <w:t>я в принимающую организацию в связи с переводом из исходной организации не допускается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 xml:space="preserve">10. Указанные в </w:t>
      </w:r>
      <w:hyperlink r:id="rId10" w:anchor="/document/99/499084705/XA00M8G2N0/" w:tgtFrame="_self" w:history="1">
        <w:r>
          <w:rPr>
            <w:rStyle w:val="a4"/>
            <w:rFonts w:ascii="Georgia" w:hAnsi="Georgia"/>
          </w:rPr>
          <w:t>пункте 8 настоящего Порядка</w:t>
        </w:r>
      </w:hyperlink>
      <w:r>
        <w:rPr>
          <w:rFonts w:ascii="Georgia" w:hAnsi="Georgia"/>
        </w:rPr>
        <w:t xml:space="preserve"> документы представляются совершенн</w:t>
      </w:r>
      <w:r>
        <w:rPr>
          <w:rFonts w:ascii="Georgia" w:hAnsi="Georgia"/>
        </w:rPr>
        <w:t>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</w:t>
      </w:r>
      <w:r>
        <w:rPr>
          <w:rFonts w:ascii="Georgia" w:hAnsi="Georgia"/>
        </w:rPr>
        <w:t xml:space="preserve">нала документа, </w:t>
      </w:r>
      <w:r>
        <w:rPr>
          <w:rFonts w:ascii="Georgia" w:hAnsi="Georgia"/>
        </w:rPr>
        <w:lastRenderedPageBreak/>
        <w:t>удостоверяющего личность совершеннолетнего обучающегося или родителя (законного представителя) несовершеннолетнего обучающегося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10.1. При приеме (переводе) на обучение по имеющим государственную аккредитацию образовательным программам нач</w:t>
      </w:r>
      <w:r>
        <w:rPr>
          <w:rFonts w:ascii="Georgia" w:hAnsi="Georgia"/>
        </w:rPr>
        <w:t xml:space="preserve">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</w:t>
      </w:r>
      <w:r>
        <w:rPr>
          <w:rFonts w:ascii="Georgia" w:hAnsi="Georgia"/>
        </w:rPr>
        <w:t>по заявлениям родителей (законных представителей) обучающихся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vip.1obraz.ru/system/content/image/52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2703557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9B2DEB">
      <w:pPr>
        <w:divId w:val="176510554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vip.1obraz.ru/system/content/image/52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2703557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anchor="/document/99/902389617/XA00M6E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6 статьи 14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2018, № 32 (часть I), ст.5110)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дополнительно включена с 16 февраля 20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19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3" w:anchor="/document/99/552280951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Минпросвещения России от 17 января 2019 года № 20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11. Зачисление обучающегося в принимающую организацию в порядке перевода оформляется распорядительным актом р</w:t>
      </w:r>
      <w:r>
        <w:rPr>
          <w:rFonts w:ascii="Georgia" w:hAnsi="Georgia"/>
        </w:rPr>
        <w:t xml:space="preserve">уководителя принимающей организации (уполномоченного им лица) в течение трех рабочих дней после приема заявления и документов, указанных в </w:t>
      </w:r>
      <w:hyperlink r:id="rId14" w:anchor="/document/99/499084705/XA00M8G2N0/" w:tgtFrame="_self" w:history="1">
        <w:r>
          <w:rPr>
            <w:rStyle w:val="a4"/>
            <w:rFonts w:ascii="Georgia" w:hAnsi="Georgia"/>
          </w:rPr>
          <w:t>пункте 8 настоящего Порядка</w:t>
        </w:r>
      </w:hyperlink>
      <w:r>
        <w:rPr>
          <w:rFonts w:ascii="Georgia" w:hAnsi="Georgia"/>
        </w:rPr>
        <w:t>, с указанием даты зачисления и класса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 xml:space="preserve"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</w:t>
      </w:r>
      <w:r>
        <w:rPr>
          <w:rFonts w:ascii="Georgia" w:hAnsi="Georgia"/>
        </w:rPr>
        <w:t>уведомляет исходную организацию о номере и дате распорядительного акта о зачислении обучающегося в принимающую организацию</w:t>
      </w:r>
      <w:r>
        <w:rPr>
          <w:rFonts w:ascii="Georgia" w:hAnsi="Georgia"/>
        </w:rPr>
        <w:t>.</w:t>
      </w:r>
    </w:p>
    <w:p w:rsidR="00000000" w:rsidRDefault="009B2DEB">
      <w:pPr>
        <w:divId w:val="141836082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13. При принятии решения о прекращении деятельности исходной организ</w:t>
      </w:r>
      <w:r>
        <w:rPr>
          <w:rFonts w:ascii="Georgia" w:hAnsi="Georgia"/>
        </w:rPr>
        <w:t xml:space="preserve">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r:id="rId15" w:anchor="/document/99/499084705/XA00LVA2M9/" w:tgtFrame="_self" w:history="1">
        <w:r>
          <w:rPr>
            <w:rStyle w:val="a4"/>
            <w:rFonts w:ascii="Georgia" w:hAnsi="Georgia"/>
          </w:rPr>
          <w:t>пунктом 2 настоящего Порядка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</w:t>
      </w:r>
      <w:r>
        <w:rPr>
          <w:rFonts w:ascii="Georgia" w:hAnsi="Georgia"/>
        </w:rPr>
        <w:t>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</w:t>
      </w:r>
      <w:r>
        <w:rPr>
          <w:rFonts w:ascii="Georgia" w:hAnsi="Georgia"/>
        </w:rPr>
        <w:t xml:space="preserve">альном сайте в сети Интернет. Данное уведомление должно содержать сроки предоставления письменных </w:t>
      </w:r>
      <w:r>
        <w:rPr>
          <w:rFonts w:ascii="Georgia" w:hAnsi="Georgia"/>
        </w:rPr>
        <w:lastRenderedPageBreak/>
        <w:t xml:space="preserve">согласий лиц, указанных в </w:t>
      </w:r>
      <w:hyperlink r:id="rId16" w:anchor="/document/99/499084705/XA00LVA2M9/" w:tgtFrame="_self" w:history="1">
        <w:r>
          <w:rPr>
            <w:rStyle w:val="a4"/>
            <w:rFonts w:ascii="Georgia" w:hAnsi="Georgia"/>
          </w:rPr>
          <w:t>пункте 2 настоящего Порядка</w:t>
        </w:r>
      </w:hyperlink>
      <w:r>
        <w:rPr>
          <w:rFonts w:ascii="Georgia" w:hAnsi="Georgia"/>
        </w:rPr>
        <w:t xml:space="preserve">, на перевод в </w:t>
      </w:r>
      <w:r>
        <w:rPr>
          <w:rFonts w:ascii="Georgia" w:hAnsi="Georgia"/>
        </w:rPr>
        <w:t>принимающую организацию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14.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</w:t>
      </w:r>
      <w:r>
        <w:rPr>
          <w:rFonts w:ascii="Georgia" w:hAnsi="Georgia"/>
        </w:rPr>
        <w:t>й форме, а также разместить указанное уведомление на своем официальном сайте в сети Интернет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</w:t>
      </w:r>
      <w:r>
        <w:rPr>
          <w:rFonts w:ascii="Georgia" w:hAnsi="Georgia"/>
        </w:rPr>
        <w:t xml:space="preserve">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</w:t>
      </w:r>
      <w:r>
        <w:rPr>
          <w:rFonts w:ascii="Georgia" w:hAnsi="Georgia"/>
        </w:rPr>
        <w:t>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лишен</w:t>
      </w:r>
      <w:r>
        <w:rPr>
          <w:rFonts w:ascii="Georgia" w:hAnsi="Georgia"/>
        </w:rPr>
        <w:t xml:space="preserve">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</w:t>
      </w:r>
      <w:r>
        <w:rPr>
          <w:rFonts w:ascii="Georgia" w:hAnsi="Georgia"/>
        </w:rPr>
        <w:t>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</w:t>
      </w:r>
      <w:r>
        <w:rPr>
          <w:rFonts w:ascii="Georgia" w:hAnsi="Georgia"/>
        </w:rPr>
        <w:t>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</w:t>
      </w:r>
      <w:r>
        <w:rPr>
          <w:rFonts w:ascii="Georgia" w:hAnsi="Georgia"/>
        </w:rPr>
        <w:t>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если до истечения срока д</w:t>
      </w:r>
      <w:r>
        <w:rPr>
          <w:rFonts w:ascii="Georgia" w:hAnsi="Georgia"/>
        </w:rPr>
        <w:t>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</w:t>
      </w:r>
      <w:r>
        <w:rPr>
          <w:rFonts w:ascii="Georgia" w:hAnsi="Georgia"/>
        </w:rPr>
        <w:t>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отказа аккредитационного органа исходной организации в государственной аккредитации</w:t>
      </w:r>
      <w:r>
        <w:rPr>
          <w:rFonts w:ascii="Georgia" w:hAnsi="Georgia"/>
        </w:rPr>
        <w:t xml:space="preserve">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</w:t>
      </w:r>
      <w:r>
        <w:rPr>
          <w:rFonts w:ascii="Georgia" w:hAnsi="Georgia"/>
        </w:rPr>
        <w:t xml:space="preserve">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</w:t>
      </w:r>
      <w:r>
        <w:rPr>
          <w:rFonts w:ascii="Georgia" w:hAnsi="Georgia"/>
        </w:rPr>
        <w:lastRenderedPageBreak/>
        <w:t>отказе исходной организации в государственной аккредитации по соответствующей образовательной программе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 xml:space="preserve">5. Учредитель, за исключением случая, указанного в </w:t>
      </w:r>
      <w:hyperlink r:id="rId17" w:anchor="/document/99/499084705/XA00M6S2MI/" w:tgtFrame="_self" w:history="1">
        <w:r>
          <w:rPr>
            <w:rStyle w:val="a4"/>
            <w:rFonts w:ascii="Georgia" w:hAnsi="Georgia"/>
          </w:rPr>
          <w:t>пункте 13 настоящего Порядка</w:t>
        </w:r>
      </w:hyperlink>
      <w:r>
        <w:rPr>
          <w:rFonts w:ascii="Georgia" w:hAnsi="Georgia"/>
        </w:rPr>
        <w:t>, осуществляет выбор принимающих организаций с использованием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информации, предварител</w:t>
      </w:r>
      <w:r>
        <w:rPr>
          <w:rFonts w:ascii="Georgia" w:hAnsi="Georgia"/>
        </w:rPr>
        <w:t>ьно полученной от исходной организации, о списочном составе обучающихся с указанием осваиваемых ими образовательных программ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сведений, содержащихся в Реестре организаций, осуществляющих образовательную деятельность по имеющим государственную аккредитацию</w:t>
      </w:r>
      <w:r>
        <w:rPr>
          <w:rFonts w:ascii="Georgia" w:hAnsi="Georgia"/>
        </w:rPr>
        <w:t xml:space="preserve"> образовательным программам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16.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</w:t>
      </w:r>
      <w:r>
        <w:rPr>
          <w:rFonts w:ascii="Georgia" w:hAnsi="Georgia"/>
        </w:rPr>
        <w:t>ность по соответствующим образовательным программам, о возможности перевода в них 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</w:t>
      </w:r>
      <w:r>
        <w:rPr>
          <w:rFonts w:ascii="Georgia" w:hAnsi="Georgia"/>
        </w:rPr>
        <w:t>формировать о возможности перевода обучающихся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17.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</w:t>
      </w:r>
      <w:r>
        <w:rPr>
          <w:rFonts w:ascii="Georgia" w:hAnsi="Georgia"/>
        </w:rPr>
        <w:t xml:space="preserve">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hyperlink r:id="rId18" w:anchor="/document/99/499084705/XA00LVA2M9/" w:tgtFrame="_self" w:history="1">
        <w:r>
          <w:rPr>
            <w:rStyle w:val="a4"/>
            <w:rFonts w:ascii="Georgia" w:hAnsi="Georgia"/>
          </w:rPr>
          <w:t>пункте 2 настоящего Порядка</w:t>
        </w:r>
      </w:hyperlink>
      <w:r>
        <w:rPr>
          <w:rFonts w:ascii="Georgia" w:hAnsi="Georgia"/>
        </w:rPr>
        <w:t xml:space="preserve">, </w:t>
      </w:r>
      <w:r>
        <w:rPr>
          <w:rFonts w:ascii="Georgia" w:hAnsi="Georgia"/>
        </w:rPr>
        <w:t>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</w:t>
      </w:r>
      <w:r>
        <w:rPr>
          <w:rFonts w:ascii="Georgia" w:hAnsi="Georgia"/>
        </w:rPr>
        <w:t>низацией, количество свободных мест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 xml:space="preserve">18. После получения соответствующих письменных согласий лиц, указанных в </w:t>
      </w:r>
      <w:hyperlink r:id="rId19" w:anchor="/document/99/499084705/XA00LVA2M9/" w:tgtFrame="_self" w:history="1">
        <w:r>
          <w:rPr>
            <w:rStyle w:val="a4"/>
            <w:rFonts w:ascii="Georgia" w:hAnsi="Georgia"/>
          </w:rPr>
          <w:t>пункте 2 настоящего Порядка</w:t>
        </w:r>
      </w:hyperlink>
      <w:r>
        <w:rPr>
          <w:rFonts w:ascii="Georgia" w:hAnsi="Georgia"/>
        </w:rPr>
        <w:t>, исходная организация издает</w:t>
      </w:r>
      <w:r>
        <w:rPr>
          <w:rFonts w:ascii="Georgia" w:hAnsi="Georgia"/>
        </w:rPr>
        <w:t xml:space="preserve">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</w:t>
      </w:r>
      <w:r>
        <w:rPr>
          <w:rFonts w:ascii="Georgia" w:hAnsi="Georgia"/>
        </w:rPr>
        <w:t>ующей образовательной программе, истечение срока действия государственной аккредитации по соответствующей образовательной программе)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19. В случае отказа от перевода в предлагаемую принимающую организацию совершеннолетний обучающийся или родители (законные</w:t>
      </w:r>
      <w:r>
        <w:rPr>
          <w:rFonts w:ascii="Georgia" w:hAnsi="Georgia"/>
        </w:rPr>
        <w:t xml:space="preserve"> представители) несовершеннолетнего обучающегося указывают об этом в письменном заявлении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 xml:space="preserve"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r:id="rId20" w:anchor="/document/99/499084705/XA00LVA2M9/" w:tgtFrame="_self" w:history="1">
        <w:r>
          <w:rPr>
            <w:rStyle w:val="a4"/>
            <w:rFonts w:ascii="Georgia" w:hAnsi="Georgia"/>
          </w:rPr>
          <w:t>пункте 2 настоящего Порядка</w:t>
        </w:r>
      </w:hyperlink>
      <w:r>
        <w:rPr>
          <w:rFonts w:ascii="Georgia" w:hAnsi="Georgia"/>
        </w:rPr>
        <w:t>, личные дела обучающихся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 xml:space="preserve">21.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</w:t>
      </w:r>
      <w:r>
        <w:rPr>
          <w:rFonts w:ascii="Georgia" w:hAnsi="Georgia"/>
        </w:rPr>
        <w:lastRenderedPageBreak/>
        <w:t>аннулированием лицензии, приостан</w:t>
      </w:r>
      <w:r>
        <w:rPr>
          <w:rFonts w:ascii="Georgia" w:hAnsi="Georgia"/>
        </w:rPr>
        <w:t xml:space="preserve">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</w:t>
      </w:r>
      <w:r>
        <w:rPr>
          <w:rFonts w:ascii="Georgia" w:hAnsi="Georgia"/>
        </w:rPr>
        <w:t>срока действия государственной аккредитации по соответствующей образовательной программе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</w:t>
      </w:r>
      <w:r>
        <w:rPr>
          <w:rFonts w:ascii="Georgia" w:hAnsi="Georgia"/>
        </w:rPr>
        <w:t>, класса, формы обучения</w:t>
      </w:r>
      <w:r>
        <w:rPr>
          <w:rFonts w:ascii="Georgia" w:hAnsi="Georgia"/>
        </w:rPr>
        <w:t>.</w:t>
      </w:r>
    </w:p>
    <w:p w:rsidR="00000000" w:rsidRDefault="009B2DEB">
      <w:pPr>
        <w:spacing w:after="223"/>
        <w:jc w:val="both"/>
        <w:divId w:val="749237671"/>
        <w:rPr>
          <w:rFonts w:ascii="Georgia" w:hAnsi="Georgia"/>
        </w:rPr>
      </w:pPr>
      <w:r>
        <w:rPr>
          <w:rFonts w:ascii="Georgia" w:hAnsi="Georgia"/>
        </w:rPr>
        <w:t>22.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</w:t>
      </w:r>
      <w:r>
        <w:rPr>
          <w:rFonts w:ascii="Georgia" w:hAnsi="Georgia"/>
        </w:rPr>
        <w:t xml:space="preserve">гласия лиц, указанных в </w:t>
      </w:r>
      <w:hyperlink r:id="rId21" w:anchor="/document/99/499084705/XA00LVA2M9/" w:tgtFrame="_self" w:history="1">
        <w:r>
          <w:rPr>
            <w:rStyle w:val="a4"/>
            <w:rFonts w:ascii="Georgia" w:hAnsi="Georgia"/>
          </w:rPr>
          <w:t>пункте 2 настоящего Порядка</w:t>
        </w:r>
      </w:hyperlink>
      <w:r>
        <w:rPr>
          <w:rFonts w:ascii="Georgia" w:hAnsi="Georgia"/>
        </w:rPr>
        <w:t>.</w:t>
      </w:r>
    </w:p>
    <w:p w:rsidR="00000000" w:rsidRDefault="009B2DEB">
      <w:pPr>
        <w:divId w:val="54468375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B2DEB"/>
    <w:rsid w:val="009B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09104-01DE-4319-B33B-FD6F3C83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bl-anchors">
    <w:name w:val="bl-anchors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8375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67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3774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522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142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54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082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image" Target="https://vip.1obraz.ru/system/content/image/52/1/2703557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1901</Words>
  <Characters>16235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2019-07-09T15:48:00Z</dcterms:created>
  <dcterms:modified xsi:type="dcterms:W3CDTF">2019-07-09T15:48:00Z</dcterms:modified>
</cp:coreProperties>
</file>