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0549">
        <w:rPr>
          <w:rFonts w:ascii="Times New Roman" w:hAnsi="Times New Roman" w:cs="Times New Roman"/>
          <w:b/>
          <w:bCs/>
          <w:sz w:val="28"/>
          <w:szCs w:val="28"/>
        </w:rPr>
        <w:t xml:space="preserve">Схемы, </w:t>
      </w:r>
      <w:bookmarkStart w:id="0" w:name="_GoBack"/>
      <w:r w:rsidRPr="00000549">
        <w:rPr>
          <w:rFonts w:ascii="Times New Roman" w:hAnsi="Times New Roman" w:cs="Times New Roman"/>
          <w:b/>
          <w:bCs/>
          <w:sz w:val="28"/>
          <w:szCs w:val="28"/>
        </w:rPr>
        <w:t xml:space="preserve">как оформить поступление НФА: приходным ордером или новой </w:t>
      </w:r>
      <w:proofErr w:type="spellStart"/>
      <w:r w:rsidRPr="00000549">
        <w:rPr>
          <w:rFonts w:ascii="Times New Roman" w:hAnsi="Times New Roman" w:cs="Times New Roman"/>
          <w:b/>
          <w:bCs/>
          <w:sz w:val="28"/>
          <w:szCs w:val="28"/>
        </w:rPr>
        <w:t>первичкой</w:t>
      </w:r>
      <w:bookmarkEnd w:id="0"/>
      <w:proofErr w:type="spellEnd"/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0549">
        <w:rPr>
          <w:rFonts w:ascii="Times New Roman" w:hAnsi="Times New Roman" w:cs="Times New Roman"/>
          <w:i/>
          <w:iCs/>
          <w:sz w:val="28"/>
          <w:szCs w:val="28"/>
        </w:rPr>
        <w:t xml:space="preserve">Из-за </w:t>
      </w:r>
      <w:proofErr w:type="gramStart"/>
      <w:r w:rsidRPr="00000549">
        <w:rPr>
          <w:rFonts w:ascii="Times New Roman" w:hAnsi="Times New Roman" w:cs="Times New Roman"/>
          <w:i/>
          <w:iCs/>
          <w:sz w:val="28"/>
          <w:szCs w:val="28"/>
        </w:rPr>
        <w:t>новой</w:t>
      </w:r>
      <w:proofErr w:type="gramEnd"/>
      <w:r w:rsidRPr="00000549">
        <w:rPr>
          <w:rFonts w:ascii="Times New Roman" w:hAnsi="Times New Roman" w:cs="Times New Roman"/>
          <w:i/>
          <w:iCs/>
          <w:sz w:val="28"/>
          <w:szCs w:val="28"/>
        </w:rPr>
        <w:t xml:space="preserve"> электронной </w:t>
      </w:r>
      <w:proofErr w:type="spellStart"/>
      <w:r w:rsidRPr="00000549">
        <w:rPr>
          <w:rFonts w:ascii="Times New Roman" w:hAnsi="Times New Roman" w:cs="Times New Roman"/>
          <w:i/>
          <w:iCs/>
          <w:sz w:val="28"/>
          <w:szCs w:val="28"/>
        </w:rPr>
        <w:t>первички</w:t>
      </w:r>
      <w:proofErr w:type="spellEnd"/>
      <w:r w:rsidRPr="00000549">
        <w:rPr>
          <w:rFonts w:ascii="Times New Roman" w:hAnsi="Times New Roman" w:cs="Times New Roman"/>
          <w:i/>
          <w:iCs/>
          <w:sz w:val="28"/>
          <w:szCs w:val="28"/>
        </w:rPr>
        <w:t xml:space="preserve"> еще сложнее стало разобраться, как документально оформить поступление имущества. Чтобы принять на учет материалы, действуют четыре документа, а для основных средств — пять. Читайте, какие документы и когда оформить в 2024 году. В схемах посмотрите безопасные варианты.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0549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AE6F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0549">
        <w:rPr>
          <w:rFonts w:ascii="Times New Roman" w:hAnsi="Times New Roman" w:cs="Times New Roman"/>
          <w:b/>
          <w:bCs/>
          <w:sz w:val="28"/>
          <w:szCs w:val="28"/>
        </w:rPr>
        <w:t>тыс. руб. —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такой максимальный штраф для должностного лица за отсутствие первичного документа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Вопрос об использовании приходного ордера (ф. 0504207) и до 2024 года был неоднозначным. В методических указаниях по его применению прописаны одни правила, а в разъясняющих письмах Минфина — другие. С введением новых обязательных электронных форм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 xml:space="preserve"> яснее не стало. На круглых столах финансисты разъясняли, что приходный ордер в 2024 году применять не нужно. Однако нормативно такое правило не закрепили. В итоге для одних и тех же хозяйственных операций сейчас действует несколько документов.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Читайте в статье, когда приемлемо использовать новые электронные документы, а когда не обойтись без приходного ордера (ф. 0504207). В схемах посмотрите безопасные варианты документального оформления поступившего имущества.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0549">
        <w:rPr>
          <w:rFonts w:ascii="Times New Roman" w:hAnsi="Times New Roman" w:cs="Times New Roman"/>
          <w:b/>
          <w:bCs/>
          <w:sz w:val="28"/>
          <w:szCs w:val="28"/>
        </w:rPr>
        <w:t>Как документально оформить поступление материалов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В 2024 году, чтобы отразить на балансе поступивший материальный запас, есть четыре документа: приходный ордер (ф. 0504207), карточка капвложений (ф. 0509211), акт о приеме-передаче НФА (ф. 0510448) и решение о признании объектов НФА (ф. 0510441). Назначение приходного ордера пересекается с каждым из оставшихся трех документов. Давайте разбираться, какой </w:t>
      </w:r>
      <w:proofErr w:type="gramStart"/>
      <w:r w:rsidRPr="00000549">
        <w:rPr>
          <w:rFonts w:ascii="Times New Roman" w:hAnsi="Times New Roman" w:cs="Times New Roman"/>
          <w:sz w:val="28"/>
          <w:szCs w:val="28"/>
        </w:rPr>
        <w:t>документ</w:t>
      </w:r>
      <w:proofErr w:type="gramEnd"/>
      <w:r w:rsidRPr="00000549">
        <w:rPr>
          <w:rFonts w:ascii="Times New Roman" w:hAnsi="Times New Roman" w:cs="Times New Roman"/>
          <w:sz w:val="28"/>
          <w:szCs w:val="28"/>
        </w:rPr>
        <w:t xml:space="preserve"> когда применять.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b/>
          <w:bCs/>
          <w:sz w:val="28"/>
          <w:szCs w:val="28"/>
        </w:rPr>
        <w:t>Приходный ордер (ф. 0504207).</w:t>
      </w:r>
      <w:r w:rsidRPr="00000549">
        <w:rPr>
          <w:rFonts w:ascii="Times New Roman" w:hAnsi="Times New Roman" w:cs="Times New Roman"/>
          <w:sz w:val="28"/>
          <w:szCs w:val="28"/>
        </w:rPr>
        <w:t> В своем письме Минфин разъяснял, что приходный ордер можно не составлять, если есть сопроводительные документы. Например, счет-фактура или товарная накладная (</w:t>
      </w:r>
      <w:hyperlink r:id="rId5" w:tgtFrame="_blank" w:history="1">
        <w:r w:rsidRPr="00000549">
          <w:rPr>
            <w:rStyle w:val="a3"/>
            <w:rFonts w:ascii="Times New Roman" w:hAnsi="Times New Roman" w:cs="Times New Roman"/>
            <w:sz w:val="28"/>
            <w:szCs w:val="28"/>
          </w:rPr>
          <w:t>письмо от 07.12.2016 № 02-07-10/72795</w:t>
        </w:r>
      </w:hyperlink>
      <w:r w:rsidRPr="00000549">
        <w:rPr>
          <w:rFonts w:ascii="Times New Roman" w:hAnsi="Times New Roman" w:cs="Times New Roman"/>
          <w:sz w:val="28"/>
          <w:szCs w:val="28"/>
        </w:rPr>
        <w:t>). Если следовать </w:t>
      </w:r>
      <w:hyperlink r:id="rId6" w:tgtFrame="_blank" w:history="1">
        <w:r w:rsidRPr="00000549">
          <w:rPr>
            <w:rStyle w:val="a3"/>
            <w:rFonts w:ascii="Times New Roman" w:hAnsi="Times New Roman" w:cs="Times New Roman"/>
            <w:sz w:val="28"/>
            <w:szCs w:val="28"/>
          </w:rPr>
          <w:t>этому письму</w:t>
        </w:r>
      </w:hyperlink>
      <w:r w:rsidRPr="00000549">
        <w:rPr>
          <w:rFonts w:ascii="Times New Roman" w:hAnsi="Times New Roman" w:cs="Times New Roman"/>
          <w:sz w:val="28"/>
          <w:szCs w:val="28"/>
        </w:rPr>
        <w:t>, то приходный ордер (ф. 0504207) нужен, если имущество поступило без сопроводительных документов, его нашли во время инвентаризации, получили после демонтажа или ремонта имущества.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Мы рекомендуем составлять приходный ордер при любой поставке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матценностей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 xml:space="preserve">, хотя это и приведет к увеличению документооборота. Но, если </w:t>
      </w:r>
      <w:r w:rsidRPr="00000549">
        <w:rPr>
          <w:rFonts w:ascii="Times New Roman" w:hAnsi="Times New Roman" w:cs="Times New Roman"/>
          <w:sz w:val="28"/>
          <w:szCs w:val="28"/>
        </w:rPr>
        <w:lastRenderedPageBreak/>
        <w:t>не выписать приходный ордер, это будет грубым нарушением бухучета (</w:t>
      </w:r>
      <w:hyperlink r:id="rId7" w:anchor="ZAP24SM3C8" w:tgtFrame="_blank" w:history="1">
        <w:r w:rsidRPr="00000549">
          <w:rPr>
            <w:rStyle w:val="a3"/>
            <w:rFonts w:ascii="Times New Roman" w:hAnsi="Times New Roman" w:cs="Times New Roman"/>
            <w:sz w:val="28"/>
            <w:szCs w:val="28"/>
          </w:rPr>
          <w:t>п. 4</w:t>
        </w:r>
      </w:hyperlink>
      <w:r w:rsidRPr="00000549">
        <w:rPr>
          <w:rFonts w:ascii="Times New Roman" w:hAnsi="Times New Roman" w:cs="Times New Roman"/>
          <w:sz w:val="28"/>
          <w:szCs w:val="28"/>
        </w:rPr>
        <w:t> примечания к </w:t>
      </w:r>
      <w:hyperlink r:id="rId8" w:anchor="XA00RQC2P6" w:tgtFrame="_blank" w:history="1">
        <w:r w:rsidRPr="00000549">
          <w:rPr>
            <w:rStyle w:val="a3"/>
            <w:rFonts w:ascii="Times New Roman" w:hAnsi="Times New Roman" w:cs="Times New Roman"/>
            <w:sz w:val="28"/>
            <w:szCs w:val="28"/>
          </w:rPr>
          <w:t>п. 7</w:t>
        </w:r>
      </w:hyperlink>
      <w:r w:rsidRPr="00000549">
        <w:rPr>
          <w:rFonts w:ascii="Times New Roman" w:hAnsi="Times New Roman" w:cs="Times New Roman"/>
          <w:sz w:val="28"/>
          <w:szCs w:val="28"/>
        </w:rPr>
        <w:t> ст. 15.15.6 КоАП). Размер штрафа на должностное лицо может составить от 15 000 до 30 000 руб. В обзоре нарушений, выявленных при проверках, Федеральное казначейство упоминало о нарушении, когда учреждение не составляет первичные учетные документы о приемке поставленного товара (</w:t>
      </w:r>
      <w:hyperlink r:id="rId9" w:anchor="XA00M7Q2N3" w:tgtFrame="_blank" w:history="1">
        <w:r w:rsidRPr="00000549">
          <w:rPr>
            <w:rStyle w:val="a3"/>
            <w:rFonts w:ascii="Times New Roman" w:hAnsi="Times New Roman" w:cs="Times New Roman"/>
            <w:sz w:val="28"/>
            <w:szCs w:val="28"/>
          </w:rPr>
          <w:t>п. 8.5 письма от 13.07.2018 № 07-04-05/21—14791</w:t>
        </w:r>
      </w:hyperlink>
      <w:r w:rsidRPr="00000549">
        <w:rPr>
          <w:rFonts w:ascii="Times New Roman" w:hAnsi="Times New Roman" w:cs="Times New Roman"/>
          <w:sz w:val="28"/>
          <w:szCs w:val="28"/>
        </w:rPr>
        <w:t>).</w:t>
      </w:r>
    </w:p>
    <w:p w:rsidR="00CC7A06" w:rsidRDefault="00CC7A06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0549">
        <w:rPr>
          <w:rFonts w:ascii="Times New Roman" w:hAnsi="Times New Roman" w:cs="Times New Roman"/>
          <w:b/>
          <w:bCs/>
          <w:sz w:val="28"/>
          <w:szCs w:val="28"/>
        </w:rPr>
        <w:t xml:space="preserve">Образец приходного ордера на приемку </w:t>
      </w:r>
      <w:proofErr w:type="spellStart"/>
      <w:r w:rsidRPr="00000549">
        <w:rPr>
          <w:rFonts w:ascii="Times New Roman" w:hAnsi="Times New Roman" w:cs="Times New Roman"/>
          <w:b/>
          <w:bCs/>
          <w:sz w:val="28"/>
          <w:szCs w:val="28"/>
        </w:rPr>
        <w:t>матценностей</w:t>
      </w:r>
      <w:proofErr w:type="spellEnd"/>
      <w:r w:rsidRPr="00000549">
        <w:rPr>
          <w:rFonts w:ascii="Times New Roman" w:hAnsi="Times New Roman" w:cs="Times New Roman"/>
          <w:b/>
          <w:bCs/>
          <w:sz w:val="28"/>
          <w:szCs w:val="28"/>
        </w:rPr>
        <w:t xml:space="preserve"> (ф. 0504207)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0549">
        <w:rPr>
          <w:rFonts w:ascii="Times New Roman" w:hAnsi="Times New Roman" w:cs="Times New Roman"/>
          <w:i/>
          <w:iCs/>
          <w:sz w:val="28"/>
          <w:szCs w:val="28"/>
        </w:rPr>
        <w:t>Посмотрите в статье, как заполнить реквизиты приходного ордера (ф. 0504207). А скачать его образец с пояснениями вы можете в конце статьи. Применять этот документ вы вправе, чтобы оформить приемку.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+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Сейчас одновременно действуют два приказа по 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первичке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>: приказ Минфина от 30.03.2015 № 52 и </w:t>
      </w:r>
      <w:hyperlink r:id="rId10" w:tgtFrame="_blank" w:history="1">
        <w:r w:rsidRPr="00000549">
          <w:rPr>
            <w:rStyle w:val="a3"/>
            <w:rFonts w:ascii="Times New Roman" w:hAnsi="Times New Roman" w:cs="Times New Roman"/>
            <w:sz w:val="28"/>
            <w:szCs w:val="28"/>
          </w:rPr>
          <w:t>приказ Минфина от 15.04.2021 № 61н</w:t>
        </w:r>
      </w:hyperlink>
      <w:r w:rsidRPr="00000549">
        <w:rPr>
          <w:rFonts w:ascii="Times New Roman" w:hAnsi="Times New Roman" w:cs="Times New Roman"/>
          <w:sz w:val="28"/>
          <w:szCs w:val="28"/>
        </w:rPr>
        <w:t>. При этом </w:t>
      </w:r>
      <w:hyperlink r:id="rId11" w:tgtFrame="_blank" w:history="1">
        <w:r w:rsidRPr="00000549">
          <w:rPr>
            <w:rStyle w:val="a3"/>
            <w:rFonts w:ascii="Times New Roman" w:hAnsi="Times New Roman" w:cs="Times New Roman"/>
            <w:sz w:val="28"/>
            <w:szCs w:val="28"/>
          </w:rPr>
          <w:t>приказ № 61н</w:t>
        </w:r>
      </w:hyperlink>
      <w:r w:rsidRPr="00000549">
        <w:rPr>
          <w:rFonts w:ascii="Times New Roman" w:hAnsi="Times New Roman" w:cs="Times New Roman"/>
          <w:sz w:val="28"/>
          <w:szCs w:val="28"/>
        </w:rPr>
        <w:t> дополняет приказ № 52н, а не отрицает его. Поэтому, если возникает дилемма, какой документ выбрать — из приказа № 52н или </w:t>
      </w:r>
      <w:hyperlink r:id="rId12" w:tgtFrame="_blank" w:history="1">
        <w:r w:rsidRPr="00000549">
          <w:rPr>
            <w:rStyle w:val="a3"/>
            <w:rFonts w:ascii="Times New Roman" w:hAnsi="Times New Roman" w:cs="Times New Roman"/>
            <w:sz w:val="28"/>
            <w:szCs w:val="28"/>
          </w:rPr>
          <w:t>приказа № 61н</w:t>
        </w:r>
      </w:hyperlink>
      <w:r w:rsidRPr="00000549">
        <w:rPr>
          <w:rFonts w:ascii="Times New Roman" w:hAnsi="Times New Roman" w:cs="Times New Roman"/>
          <w:sz w:val="28"/>
          <w:szCs w:val="28"/>
        </w:rPr>
        <w:t>, выбирать нужно тот, который установлен в учетной политике. Чтобы разобраться, когда какой документ оформлять при поступлении имущества, рекомендуем прочитать статью «</w:t>
      </w:r>
      <w:hyperlink r:id="rId13" w:tgtFrame="_blank" w:history="1">
        <w:r w:rsidRPr="00000549">
          <w:rPr>
            <w:rStyle w:val="a3"/>
            <w:rFonts w:ascii="Times New Roman" w:hAnsi="Times New Roman" w:cs="Times New Roman"/>
            <w:sz w:val="28"/>
            <w:szCs w:val="28"/>
          </w:rPr>
          <w:t xml:space="preserve">Схемы, как оформить поступление НФА: приходным ордером или новой </w:t>
        </w:r>
        <w:proofErr w:type="spellStart"/>
        <w:r w:rsidRPr="00000549">
          <w:rPr>
            <w:rStyle w:val="a3"/>
            <w:rFonts w:ascii="Times New Roman" w:hAnsi="Times New Roman" w:cs="Times New Roman"/>
            <w:sz w:val="28"/>
            <w:szCs w:val="28"/>
          </w:rPr>
          <w:t>первичкой</w:t>
        </w:r>
        <w:proofErr w:type="spellEnd"/>
      </w:hyperlink>
      <w:r w:rsidRPr="00000549">
        <w:rPr>
          <w:rFonts w:ascii="Times New Roman" w:hAnsi="Times New Roman" w:cs="Times New Roman"/>
          <w:sz w:val="28"/>
          <w:szCs w:val="28"/>
        </w:rPr>
        <w:t>».</w:t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475FB76" wp14:editId="3D3CA20D">
            <wp:extent cx="5940425" cy="5042033"/>
            <wp:effectExtent l="0" t="0" r="3175" b="6350"/>
            <wp:docPr id="2" name="Рисунок 2" descr="https://e.profkiosk.ru/service_tbn2/ho8k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service_tbn2/ho8kh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Составляйте приходный ордер (ф. 0504207) при любой поставке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матценностей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 xml:space="preserve"> от контрагентов. Иначе это будет грубым нарушением бухучета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+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b/>
          <w:bCs/>
          <w:sz w:val="28"/>
          <w:szCs w:val="28"/>
        </w:rPr>
        <w:t>Акт о приеме-передаче НФА (ф. 0510448).</w:t>
      </w:r>
      <w:r w:rsidRPr="00000549">
        <w:rPr>
          <w:rFonts w:ascii="Times New Roman" w:hAnsi="Times New Roman" w:cs="Times New Roman"/>
          <w:sz w:val="28"/>
          <w:szCs w:val="28"/>
        </w:rPr>
        <w:t xml:space="preserve"> Он нужен, чтобы безвозмездно принять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матзапасы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>, оприходовать излишки или ценности, которые остались при ликвидации или демонтаже основных средств, если получили имущество в возмещение ущерба.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0549">
        <w:rPr>
          <w:rFonts w:ascii="Times New Roman" w:hAnsi="Times New Roman" w:cs="Times New Roman"/>
          <w:b/>
          <w:bCs/>
          <w:sz w:val="28"/>
          <w:szCs w:val="28"/>
        </w:rPr>
        <w:t>Образец акта о приеме-передаче объектов НФА (ф. 0510448)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0549">
        <w:rPr>
          <w:rFonts w:ascii="Times New Roman" w:hAnsi="Times New Roman" w:cs="Times New Roman"/>
          <w:i/>
          <w:iCs/>
          <w:sz w:val="28"/>
          <w:szCs w:val="28"/>
        </w:rPr>
        <w:t>Посмотрите в статье, как заполнить реквизиты нового акта о приеме-передаче НФА (ф. 0510448). А скачать его образец с пояснениями вы можете в конце статьи. Применять этот документ нужно, например, чтобы передать или принять имущество.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В этом году обязательно оформите новый акт о приеме-передаче НФА (ф. 0510448), чтобы безвозмездно передать или принять имущество между учреждениями и другими правообладателями. Составьте акт, чтобы </w:t>
      </w:r>
      <w:r w:rsidRPr="00000549">
        <w:rPr>
          <w:rFonts w:ascii="Times New Roman" w:hAnsi="Times New Roman" w:cs="Times New Roman"/>
          <w:sz w:val="28"/>
          <w:szCs w:val="28"/>
        </w:rPr>
        <w:lastRenderedPageBreak/>
        <w:t>оприходовать излишки или ценности, которые остались при ликвидации или демонтаже основных средств, если получили имущество в возмещение ущерба или передаете объекты в ремонт, реконструкцию, модернизацию. </w:t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Акт (ф. 0510448) заполняют обе стороны: передающая и принимающая. Но есть исключения - чтобы оприходовать излишки или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матценности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 xml:space="preserve"> после ликвидации объектов, акт формируют в одностороннем порядке. В этом случае разделы 1, 2 и 4 заполняет комиссия учреждения.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Ответственное лицо передающей стороны формирует в акте три раздела: 1 «Сведения о передаваемых объектах нефинансовых активов», 2 «Индивидуальные характеристики объект</w:t>
      </w:r>
      <w:proofErr w:type="gramStart"/>
      <w:r w:rsidRPr="00000549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000549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>)» и 3 «Сведения об ограничениях (обременениях)».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+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Получатель заполняет раздел 4 «Сведения о принятых объектах нефинансовых активов». Сюда переносит данные из информации передающей стороны. Если комиссия решила изменить аналитическую группу, вид имущества, метод амортизации и срок полезного использования, в акте нужно проставить измененные показатели.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0549">
        <w:rPr>
          <w:rFonts w:ascii="Times New Roman" w:hAnsi="Times New Roman" w:cs="Times New Roman"/>
          <w:b/>
          <w:bCs/>
          <w:sz w:val="28"/>
          <w:szCs w:val="28"/>
        </w:rPr>
        <w:t>Посмотрите на образце, как должен быть оформлен акт о приеме-передаче (ф. 0510448)</w:t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5201CC" wp14:editId="591B9732">
            <wp:extent cx="5940425" cy="3720482"/>
            <wp:effectExtent l="0" t="0" r="3175" b="0"/>
            <wp:docPr id="3" name="Рисунок 3" descr="https://e.profkiosk.ru/media/1029e61a-1484-4da2-a095-280e3567c080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media/1029e61a-1484-4da2-a095-280e3567c080/images/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b/>
          <w:bCs/>
          <w:sz w:val="28"/>
          <w:szCs w:val="28"/>
        </w:rPr>
        <w:t>Карточка капвложений (ф. 0509211).</w:t>
      </w:r>
      <w:r w:rsidRPr="00000549">
        <w:rPr>
          <w:rFonts w:ascii="Times New Roman" w:hAnsi="Times New Roman" w:cs="Times New Roman"/>
          <w:sz w:val="28"/>
          <w:szCs w:val="28"/>
        </w:rPr>
        <w:t xml:space="preserve"> Она нужна, чтобы отражать вложения на счете 0 106 04 на покупку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матзапасов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 xml:space="preserve"> со сроком полезного использования. </w:t>
      </w:r>
      <w:r w:rsidRPr="00000549">
        <w:rPr>
          <w:rFonts w:ascii="Times New Roman" w:hAnsi="Times New Roman" w:cs="Times New Roman"/>
          <w:sz w:val="28"/>
          <w:szCs w:val="28"/>
        </w:rPr>
        <w:lastRenderedPageBreak/>
        <w:t xml:space="preserve">А также вложения на создание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матзапасов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00549">
        <w:rPr>
          <w:rFonts w:ascii="Times New Roman" w:hAnsi="Times New Roman" w:cs="Times New Roman"/>
          <w:sz w:val="28"/>
          <w:szCs w:val="28"/>
        </w:rPr>
        <w:t>изготовленных</w:t>
      </w:r>
      <w:proofErr w:type="gramEnd"/>
      <w:r w:rsidRPr="00000549">
        <w:rPr>
          <w:rFonts w:ascii="Times New Roman" w:hAnsi="Times New Roman" w:cs="Times New Roman"/>
          <w:sz w:val="28"/>
          <w:szCs w:val="28"/>
        </w:rPr>
        <w:t xml:space="preserve"> хозяйственным способом.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0549">
        <w:rPr>
          <w:rFonts w:ascii="Times New Roman" w:hAnsi="Times New Roman" w:cs="Times New Roman"/>
          <w:b/>
          <w:bCs/>
          <w:sz w:val="28"/>
          <w:szCs w:val="28"/>
        </w:rPr>
        <w:t>Образец карточки учета капитальных вложений (ф. 0509211)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0549">
        <w:rPr>
          <w:rFonts w:ascii="Times New Roman" w:hAnsi="Times New Roman" w:cs="Times New Roman"/>
          <w:i/>
          <w:iCs/>
          <w:sz w:val="28"/>
          <w:szCs w:val="28"/>
        </w:rPr>
        <w:t>Посмотрите в статье, как заполнить реквизиты новой карточки учета капвложений (ф. 0509211). А скачать его образец с пояснениями вы можете в конце статьи. Применять этот документ нужно, чтобы отражать вложения на счете 0 106 00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Карточку учета капвложений (ф. 0509211) оформите, чтобы отразить вложения на счете 0 106 00 на покупку или создание основных средств, НМА, НПА,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биоактивов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>, прав пользования НМА. Карточку откройте также при модернизации или реконструкции имущества.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Карточку открывает бухгалтер, который отвечает за учет имущества. Дата открытия карточки — день, когда в бухучете отразили вложения на счете 0 106 00. Дата закрытия карточки — день, когда приняли объект к учету, например, отразили на счете 0 101 00 или расформировали капвложения.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+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При оплате из разных источников в графе «Номер счета капитальных вложений» в счете бухучета в 5–18-м разрядах поставьте нули, а в реквизите «при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софинансировании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>» укажите номера счетов капвложений по каждому источнику. В разделе 1 в графе 3 «код» ставьте код ФАИП, если этого кода нет, поставьте нули — исходя из разрядности кода ФАИП.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0549">
        <w:rPr>
          <w:rFonts w:ascii="Times New Roman" w:hAnsi="Times New Roman" w:cs="Times New Roman"/>
          <w:b/>
          <w:bCs/>
          <w:sz w:val="28"/>
          <w:szCs w:val="28"/>
        </w:rPr>
        <w:t>Посмотрите на образце, как должна быть оформлена карточка учета капвложений (ф. 0509211)</w:t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4B9D5A" wp14:editId="5BE068AD">
            <wp:extent cx="5940425" cy="3411245"/>
            <wp:effectExtent l="0" t="0" r="3175" b="0"/>
            <wp:docPr id="4" name="Рисунок 4" descr="https://e.profkiosk.ru/media/d06d0996-f28a-4569-a47d-5bef32d2000c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d06d0996-f28a-4569-a47d-5bef32d2000c/images/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C846332" wp14:editId="3DDE4A95">
            <wp:extent cx="5940425" cy="3411245"/>
            <wp:effectExtent l="0" t="0" r="3175" b="0"/>
            <wp:docPr id="5" name="Рисунок 5" descr="https://e.profkiosk.ru/media/d06d0996-f28a-4569-a47d-5bef32d2000c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.profkiosk.ru/media/d06d0996-f28a-4569-a47d-5bef32d2000c/images/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A674AE" wp14:editId="73D6F3E6">
            <wp:extent cx="5940425" cy="3411245"/>
            <wp:effectExtent l="0" t="0" r="3175" b="0"/>
            <wp:docPr id="6" name="Рисунок 6" descr="https://e.profkiosk.ru/media/d06d0996-f28a-4569-a47d-5bef32d2000c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.profkiosk.ru/media/d06d0996-f28a-4569-a47d-5bef32d2000c/images/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b/>
          <w:sz w:val="28"/>
          <w:szCs w:val="28"/>
        </w:rPr>
        <w:t>Решение о признании объектов НФА</w:t>
      </w:r>
      <w:r w:rsidRPr="00000549">
        <w:rPr>
          <w:rFonts w:ascii="Times New Roman" w:hAnsi="Times New Roman" w:cs="Times New Roman"/>
          <w:sz w:val="28"/>
          <w:szCs w:val="28"/>
        </w:rPr>
        <w:t xml:space="preserve"> (ф. 0510441). </w:t>
      </w:r>
      <w:proofErr w:type="gramStart"/>
      <w:r w:rsidRPr="00000549">
        <w:rPr>
          <w:rFonts w:ascii="Times New Roman" w:hAnsi="Times New Roman" w:cs="Times New Roman"/>
          <w:sz w:val="28"/>
          <w:szCs w:val="28"/>
        </w:rPr>
        <w:t xml:space="preserve">По приказу № 61н оно необходимо, чтобы отразить на счете 0 105 00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матзапасы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 xml:space="preserve">, которые купили или создали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хозспособом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 xml:space="preserve"> и у которых есть срок эксплуатации (п. 40.1 Методических указаний из приказа № 61н).</w:t>
      </w:r>
      <w:proofErr w:type="gramEnd"/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Образец решения о признании объектов нефинансовых активов (ф. 0510441)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Посмотрите в статье, как заполнить реквизиты решения о признании объектов НФА (ф. 0510441). А скачать его образец с пояснениями вы можете в конце статьи. Без решения вы не вправе отразить на балансе, например, основные средства.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Решение (ф. 0510441) оформляют, чтобы принять к учету объекты имущества, которые купили, создали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хозспособом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 xml:space="preserve">, получили безвозмездно, в возмещение ущерба или обнаружили в виде излишков. Также оформляйте после реконструкции (модернизации), дооборудования. Чтобы разобраться, когда какой документ оформлять при поступлении имущества, рекомендуем прочитать статью «Схемы, как оформить поступление НФА: приходным ордером или новой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первичкой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>». На недвижимое имущество решение составьте после того, как оформите права оперативного управления.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Решение (ф. 0510441) формирует комиссия по поступлению и выбытию активов. В заголовочной части выбирает тип решения в зависимости от того, как поступило имущество. Например: «признание объектов нефинансовых активов в связи с приобретением». Графу 12 «Дата ввода в эксплуатацию» в разделе 1 «Сведения об объекте» заполняет, только если тип решения — «Признание (удорожание) объектов нефинансовых активов при реконструкции (модернизации), дооборудовании».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В разделе 4 «Решение, принятое по объекту» в графе 4 необходимо поставить «Готов к эксплуатации». Если комиссия поддержала решение, в графе 5 «Итог голосования» указывает процент </w:t>
      </w:r>
      <w:proofErr w:type="gramStart"/>
      <w:r w:rsidRPr="00000549">
        <w:rPr>
          <w:rFonts w:ascii="Times New Roman" w:hAnsi="Times New Roman" w:cs="Times New Roman"/>
          <w:sz w:val="28"/>
          <w:szCs w:val="28"/>
        </w:rPr>
        <w:t>проголосовавших</w:t>
      </w:r>
      <w:proofErr w:type="gramEnd"/>
      <w:r w:rsidRPr="00000549">
        <w:rPr>
          <w:rFonts w:ascii="Times New Roman" w:hAnsi="Times New Roman" w:cs="Times New Roman"/>
          <w:sz w:val="28"/>
          <w:szCs w:val="28"/>
        </w:rPr>
        <w:t xml:space="preserve"> положительно, а графу 6 «Резолюция по итогу голосования» не заполняет. Комиссия не поддержала решение — в графе 6 ставят «Снято с обсуждения».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Посмотрите на образце, как должно быть оформлено решение (ф. 0510441)</w:t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4F2DB4A" wp14:editId="63D3730F">
            <wp:extent cx="5940425" cy="4534720"/>
            <wp:effectExtent l="0" t="0" r="3175" b="0"/>
            <wp:docPr id="7" name="Рисунок 7" descr="https://e.profkiosk.ru/media/d9cc9a6f-617d-45b4-9890-96019a4c7a62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.profkiosk.ru/media/d9cc9a6f-617d-45b4-9890-96019a4c7a62/images/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EF492B" wp14:editId="41D6DE3F">
            <wp:extent cx="5940425" cy="4534720"/>
            <wp:effectExtent l="0" t="0" r="3175" b="0"/>
            <wp:docPr id="8" name="Рисунок 8" descr="https://e.profkiosk.ru/media/d9cc9a6f-617d-45b4-9890-96019a4c7a62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.profkiosk.ru/media/d9cc9a6f-617d-45b4-9890-96019a4c7a62/images/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F818795" wp14:editId="573B3F1C">
            <wp:extent cx="5940425" cy="4534720"/>
            <wp:effectExtent l="0" t="0" r="3175" b="0"/>
            <wp:docPr id="9" name="Рисунок 9" descr="https://e.profkiosk.ru/media/d9cc9a6f-617d-45b4-9890-96019a4c7a62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.profkiosk.ru/media/d9cc9a6f-617d-45b4-9890-96019a4c7a62/images/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Однако с позиции внутреннего контроля и аудита любые действия и процедуры, которые являются излишними, влекут «отбраковку» и вывод из регламента. Поэтому для материалов нет необходимости устанавливать срок эксплуатации. Например, для постельного белья и посуды.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В стандарте «Запасы» есть правило, что для запасов со сроком пользования более 12 месяцев надо установить срок эксплуатации. Но оно противоречит правилам самого стандарта: материалы — это объекты, которые используются менее 12 месяцев. Учреждения квалифицируют такие объекты как «материалы длительного использования» и в Инструкции № 157н нет правила об установления срока эксплуатации. Кроме того,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неустановление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 xml:space="preserve"> срока эксплуатации не влечет административных санкций. Грубого нарушения ведения учета и недостоверности отчетности в отношении субъекта учета применить нельзя.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>С позиции оформления прихода посуды и постельных принадлежностей можно, как и ранее, применять приходный ордер (ф. 0504207). До отмены действия приказа № 52н нарушений со стороны учреждения нет.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lastRenderedPageBreak/>
        <w:t>Для посуды и постельного белья не используйте решение о признании объектов НФА (ф. 0510441), правомерно применять приходный ордер (ф. 0504207)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Если четко следовать нормативным документам, то необходимо оформлять для одной операции два документа, а то и три. Например, чтобы отразить на счете 0 105 00 материалы, которые </w:t>
      </w:r>
      <w:proofErr w:type="gramStart"/>
      <w:r w:rsidRPr="00000549">
        <w:rPr>
          <w:rFonts w:ascii="Times New Roman" w:hAnsi="Times New Roman" w:cs="Times New Roman"/>
          <w:sz w:val="28"/>
          <w:szCs w:val="28"/>
        </w:rPr>
        <w:t>получили после демонтажа и у которых нет</w:t>
      </w:r>
      <w:proofErr w:type="gramEnd"/>
      <w:r w:rsidRPr="00000549">
        <w:rPr>
          <w:rFonts w:ascii="Times New Roman" w:hAnsi="Times New Roman" w:cs="Times New Roman"/>
          <w:sz w:val="28"/>
          <w:szCs w:val="28"/>
        </w:rPr>
        <w:t xml:space="preserve"> срока эксплуатации, нужно оформлять приходный ордер (ф. 0504207) и акт о приеме-передаче НФА (ф. 0510448).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t xml:space="preserve">Чтобы избежать двойной работы, правомерно определить в учетной политике, какие документы вы будете использовать в 2024 году. </w:t>
      </w:r>
      <w:proofErr w:type="gramStart"/>
      <w:r w:rsidRPr="00000549">
        <w:rPr>
          <w:rFonts w:ascii="Times New Roman" w:hAnsi="Times New Roman" w:cs="Times New Roman"/>
          <w:sz w:val="28"/>
          <w:szCs w:val="28"/>
        </w:rPr>
        <w:t xml:space="preserve">Сам Минфин в приоритет ставит новые формы электронной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 xml:space="preserve"> (письмо от 27.10.2023 № 02-07-05/102794).</w:t>
      </w:r>
      <w:proofErr w:type="gramEnd"/>
      <w:r w:rsidRPr="00000549">
        <w:rPr>
          <w:rFonts w:ascii="Times New Roman" w:hAnsi="Times New Roman" w:cs="Times New Roman"/>
          <w:sz w:val="28"/>
          <w:szCs w:val="28"/>
        </w:rPr>
        <w:t xml:space="preserve"> Аналогичное мнение у разработчиков бухгалтерских программных продуктов, например «1С</w:t>
      </w:r>
      <w:proofErr w:type="gramStart"/>
      <w:r w:rsidRPr="00000549">
        <w:rPr>
          <w:rFonts w:ascii="Times New Roman" w:hAnsi="Times New Roman" w:cs="Times New Roman"/>
          <w:sz w:val="28"/>
          <w:szCs w:val="28"/>
        </w:rPr>
        <w:t>:Б</w:t>
      </w:r>
      <w:proofErr w:type="gramEnd"/>
      <w:r w:rsidRPr="00000549">
        <w:rPr>
          <w:rFonts w:ascii="Times New Roman" w:hAnsi="Times New Roman" w:cs="Times New Roman"/>
          <w:sz w:val="28"/>
          <w:szCs w:val="28"/>
        </w:rPr>
        <w:t>ГУ 2.0».</w:t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0549">
        <w:rPr>
          <w:rFonts w:ascii="Times New Roman" w:hAnsi="Times New Roman" w:cs="Times New Roman"/>
          <w:sz w:val="28"/>
          <w:szCs w:val="28"/>
        </w:rPr>
        <w:t xml:space="preserve">Мы тоже рекомендуем начать переходить на новые формы электронной </w:t>
      </w:r>
      <w:proofErr w:type="spellStart"/>
      <w:r w:rsidRPr="00000549"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 w:rsidRPr="000005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00549">
        <w:rPr>
          <w:rFonts w:ascii="Times New Roman" w:hAnsi="Times New Roman" w:cs="Times New Roman"/>
          <w:sz w:val="28"/>
          <w:szCs w:val="28"/>
        </w:rPr>
        <w:t xml:space="preserve"> Так вы постепенно подготовитесь к тому моменту, когда Минфин признает приказ № 52н недействующим. Вам не нужно будет одномоментно изучать множество новых первичных документов, проводить методическую работу по их заполнению для смежных отделов и полностью переделывать график документооборота. Какой документ мы рекомендуем применять и когда, посмотрите в схеме.</w:t>
      </w:r>
    </w:p>
    <w:p w:rsid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54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1CA67C" wp14:editId="2E2BD53D">
            <wp:extent cx="5940425" cy="3636771"/>
            <wp:effectExtent l="0" t="0" r="3175" b="1905"/>
            <wp:docPr id="10" name="Рисунок 10" descr="https://e.profkiosk.ru/service_tbn2/t4hu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.profkiosk.ru/service_tbn2/t4hu2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49" w:rsidRPr="00000549" w:rsidRDefault="00000549" w:rsidP="00000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00549" w:rsidRPr="0000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549"/>
    <w:rsid w:val="00000549"/>
    <w:rsid w:val="00AE6F1C"/>
    <w:rsid w:val="00CC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054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0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054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0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65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6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8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6224">
                  <w:marLeft w:val="0"/>
                  <w:marRight w:val="-537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7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  <w:divsChild>
                        <w:div w:id="154235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97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8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6393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33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32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127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5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05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9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1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10565">
          <w:marLeft w:val="0"/>
          <w:marRight w:val="-3675"/>
          <w:marTop w:val="885"/>
          <w:marBottom w:val="780"/>
          <w:divBdr>
            <w:top w:val="none" w:sz="0" w:space="0" w:color="auto"/>
            <w:left w:val="none" w:sz="0" w:space="0" w:color="auto"/>
            <w:bottom w:val="single" w:sz="6" w:space="30" w:color="D9D9D9"/>
            <w:right w:val="none" w:sz="0" w:space="0" w:color="auto"/>
          </w:divBdr>
        </w:div>
        <w:div w:id="19455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budgetnik.ru/npd-doc?npmid=99&amp;npid=901807667&amp;anchor=XA00RQC2P6" TargetMode="External"/><Relationship Id="rId13" Type="http://schemas.openxmlformats.org/officeDocument/2006/relationships/hyperlink" Target="https://e.budgetnik.ru/1073927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e.budgetnik.ru/npd-doc?npmid=99&amp;npid=901807667&amp;anchor=ZAP24SM3C8" TargetMode="External"/><Relationship Id="rId12" Type="http://schemas.openxmlformats.org/officeDocument/2006/relationships/hyperlink" Target="https://e.budgetnik.ru/npd-doc?npmid=99&amp;npid=603561707" TargetMode="External"/><Relationship Id="rId17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e.budgetnik.ru/npd-doc?npmid=99&amp;npid=456035973" TargetMode="External"/><Relationship Id="rId11" Type="http://schemas.openxmlformats.org/officeDocument/2006/relationships/hyperlink" Target="https://e.budgetnik.ru/npd-doc?npmid=99&amp;npid=603561707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e.budgetnik.ru/npd-doc?npmid=99&amp;npid=456035973" TargetMode="Externa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e.budgetnik.ru/npd-doc?npmid=99&amp;npid=603561707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e.budgetnik.ru/npd-doc?npmid=99&amp;npid=550817733&amp;anchor=XA00M7Q2N3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1771</Words>
  <Characters>10100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2024-03-04T07:58:00Z</dcterms:created>
  <dcterms:modified xsi:type="dcterms:W3CDTF">2024-03-04T08:11:00Z</dcterms:modified>
</cp:coreProperties>
</file>