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 xml:space="preserve">Как </w:t>
      </w:r>
      <w:bookmarkStart w:id="0" w:name="_GoBack"/>
      <w:r w:rsidRPr="00E975A5">
        <w:rPr>
          <w:rFonts w:ascii="Times New Roman" w:hAnsi="Times New Roman" w:cs="Times New Roman"/>
          <w:b/>
          <w:bCs/>
          <w:sz w:val="28"/>
          <w:szCs w:val="28"/>
        </w:rPr>
        <w:t>документально оформить поступление основных средств</w:t>
      </w:r>
      <w:bookmarkEnd w:id="0"/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В 2024 году, чтобы отразить на балансе поступившее основное средство, нужно пять документов: приходный ордер (ф. 0504207), карточка капвложений (ф. 0509211), акт приемки (ф. 0510452), акт о приеме-передаче НФА (ф. 0510448) и решение о признании объектов НФА (ф. 0510441). Как и в случае с </w:t>
      </w:r>
      <w:proofErr w:type="spellStart"/>
      <w:r w:rsidRPr="00E975A5">
        <w:rPr>
          <w:rFonts w:ascii="Times New Roman" w:hAnsi="Times New Roman" w:cs="Times New Roman"/>
          <w:sz w:val="28"/>
          <w:szCs w:val="28"/>
        </w:rPr>
        <w:t>матзапасами</w:t>
      </w:r>
      <w:proofErr w:type="spellEnd"/>
      <w:r w:rsidRPr="00E975A5">
        <w:rPr>
          <w:rFonts w:ascii="Times New Roman" w:hAnsi="Times New Roman" w:cs="Times New Roman"/>
          <w:sz w:val="28"/>
          <w:szCs w:val="28"/>
        </w:rPr>
        <w:t>, назначение приходного ордера для оформления поступившего основного средства пересекается с каждым из оставшихся четырех документов.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+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Приходный ордер (ф. 0504207).</w:t>
      </w:r>
      <w:r w:rsidRPr="00E975A5">
        <w:rPr>
          <w:rFonts w:ascii="Times New Roman" w:hAnsi="Times New Roman" w:cs="Times New Roman"/>
          <w:sz w:val="28"/>
          <w:szCs w:val="28"/>
        </w:rPr>
        <w:t> Вы вправе его использовать, чтобы отразить на счете 0 101 00 основное средство, поступившее от контрагента. Также правомерно оформлять приходный ордер, если основное средство нашли во время инвентаризации, получили после ремонта имущества.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 xml:space="preserve">Образец приходного ордера на приемку </w:t>
      </w:r>
      <w:proofErr w:type="spellStart"/>
      <w:r w:rsidRPr="00E975A5">
        <w:rPr>
          <w:rFonts w:ascii="Times New Roman" w:hAnsi="Times New Roman" w:cs="Times New Roman"/>
          <w:sz w:val="28"/>
          <w:szCs w:val="28"/>
        </w:rPr>
        <w:t>матценностей</w:t>
      </w:r>
      <w:proofErr w:type="spellEnd"/>
      <w:r w:rsidRPr="00E975A5">
        <w:rPr>
          <w:rFonts w:ascii="Times New Roman" w:hAnsi="Times New Roman" w:cs="Times New Roman"/>
          <w:sz w:val="28"/>
          <w:szCs w:val="28"/>
        </w:rPr>
        <w:t xml:space="preserve"> (ф. 0504207)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Посмотрите в статье, как заполнить реквизиты приходного ордера (ф. 0504207). А скачать его образец с пояснениями вы можете в конце статьи. Применять этот документ вы вправе, чтобы оформить приемку.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 xml:space="preserve">Сейчас одновременно действуют два приказа по </w:t>
      </w:r>
      <w:proofErr w:type="spellStart"/>
      <w:r w:rsidRPr="00E975A5">
        <w:rPr>
          <w:rFonts w:ascii="Times New Roman" w:hAnsi="Times New Roman" w:cs="Times New Roman"/>
          <w:sz w:val="28"/>
          <w:szCs w:val="28"/>
        </w:rPr>
        <w:t>первичке</w:t>
      </w:r>
      <w:proofErr w:type="spellEnd"/>
      <w:r w:rsidRPr="00E975A5">
        <w:rPr>
          <w:rFonts w:ascii="Times New Roman" w:hAnsi="Times New Roman" w:cs="Times New Roman"/>
          <w:sz w:val="28"/>
          <w:szCs w:val="28"/>
        </w:rPr>
        <w:t xml:space="preserve">: приказ Минфина от 30.03.2015 № 52 и приказ Минфина от 15.04.2021 № 61н. При этом приказ № 61н дополняет приказ № 52н, а не отрицает его. Поэтому, если возникает дилемма, какой документ выбрать — из приказа № 52н или приказа № 61н, выбирать нужно тот, который установлен в учетной политике. </w:t>
      </w:r>
    </w:p>
    <w:p w:rsidR="003E77BD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Посмотрите на образце, как должен быть оформлен приходный ордер (ф. 0504207)</w:t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C6433CE" wp14:editId="3B244C43">
            <wp:extent cx="5940425" cy="5042033"/>
            <wp:effectExtent l="0" t="0" r="3175" b="6350"/>
            <wp:docPr id="1" name="Рисунок 1" descr="https://e.profkiosk.ru/service_tbn2/ho8k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service_tbn2/ho8kh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Карточка капвложений (ф. 0509211).</w:t>
      </w:r>
      <w:r w:rsidRPr="00E975A5">
        <w:rPr>
          <w:rFonts w:ascii="Times New Roman" w:hAnsi="Times New Roman" w:cs="Times New Roman"/>
          <w:sz w:val="28"/>
          <w:szCs w:val="28"/>
        </w:rPr>
        <w:t xml:space="preserve"> Она нужна, чтобы отражать вложения на счете 0 106 01 на покупку или создание основного средства. Карточку открывает бухгалтер, который отвечает за учет имущества. Дата открытия карточки — день, когда в бухучете отразили вложения на счете 0 106 01. Дата закрытия карточки — день, когда приняли объект к учету, </w:t>
      </w:r>
      <w:proofErr w:type="gramStart"/>
      <w:r w:rsidRPr="00E975A5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E975A5">
        <w:rPr>
          <w:rFonts w:ascii="Times New Roman" w:hAnsi="Times New Roman" w:cs="Times New Roman"/>
          <w:sz w:val="28"/>
          <w:szCs w:val="28"/>
        </w:rPr>
        <w:t xml:space="preserve"> когда отразили на счете 0 101 00.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Образец карточки учета капитальных вложений (ф. 0509211)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75A5">
        <w:rPr>
          <w:rFonts w:ascii="Times New Roman" w:hAnsi="Times New Roman" w:cs="Times New Roman"/>
          <w:i/>
          <w:iCs/>
          <w:sz w:val="28"/>
          <w:szCs w:val="28"/>
        </w:rPr>
        <w:t>Посмотрите в статье, как заполнить реквизиты новой карточки учета капвложений (ф. 0509211). А скачать его образец с пояснениями вы можете в конце статьи. Применять этот документ нужно, чтобы отражать вложения на счете 0 106 00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 xml:space="preserve">Карточку учета капвложений (ф. 0509211) оформите, чтобы отразить вложения на счете 0 106 00 на покупку или создание основных средств, НМА, НПА, </w:t>
      </w:r>
      <w:proofErr w:type="spellStart"/>
      <w:r w:rsidRPr="00E975A5">
        <w:rPr>
          <w:rFonts w:ascii="Times New Roman" w:hAnsi="Times New Roman" w:cs="Times New Roman"/>
          <w:sz w:val="28"/>
          <w:szCs w:val="28"/>
        </w:rPr>
        <w:t>биоактивов</w:t>
      </w:r>
      <w:proofErr w:type="spellEnd"/>
      <w:r w:rsidRPr="00E975A5">
        <w:rPr>
          <w:rFonts w:ascii="Times New Roman" w:hAnsi="Times New Roman" w:cs="Times New Roman"/>
          <w:sz w:val="28"/>
          <w:szCs w:val="28"/>
        </w:rPr>
        <w:t>, прав пользования НМА. Карточку откройте также при модернизации или реконструкции имущества. Разобраться, когда какой документ оформлять при поступлении имущества поможет статья «</w:t>
      </w:r>
      <w:hyperlink r:id="rId6" w:tgtFrame="_blank" w:history="1">
        <w:r w:rsidRPr="00E975A5">
          <w:rPr>
            <w:rStyle w:val="a5"/>
            <w:rFonts w:ascii="Times New Roman" w:hAnsi="Times New Roman" w:cs="Times New Roman"/>
            <w:sz w:val="28"/>
            <w:szCs w:val="28"/>
          </w:rPr>
          <w:t xml:space="preserve">Схемы, </w:t>
        </w:r>
        <w:r w:rsidRPr="00E975A5">
          <w:rPr>
            <w:rStyle w:val="a5"/>
            <w:rFonts w:ascii="Times New Roman" w:hAnsi="Times New Roman" w:cs="Times New Roman"/>
            <w:sz w:val="28"/>
            <w:szCs w:val="28"/>
          </w:rPr>
          <w:lastRenderedPageBreak/>
          <w:t xml:space="preserve">как оформить поступление НФА: приходным ордером или новой </w:t>
        </w:r>
        <w:proofErr w:type="spellStart"/>
        <w:r w:rsidRPr="00E975A5">
          <w:rPr>
            <w:rStyle w:val="a5"/>
            <w:rFonts w:ascii="Times New Roman" w:hAnsi="Times New Roman" w:cs="Times New Roman"/>
            <w:sz w:val="28"/>
            <w:szCs w:val="28"/>
          </w:rPr>
          <w:t>первичкой</w:t>
        </w:r>
        <w:proofErr w:type="spellEnd"/>
      </w:hyperlink>
      <w:r w:rsidRPr="00E975A5">
        <w:rPr>
          <w:rFonts w:ascii="Times New Roman" w:hAnsi="Times New Roman" w:cs="Times New Roman"/>
          <w:sz w:val="28"/>
          <w:szCs w:val="28"/>
        </w:rPr>
        <w:t>».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Карточку открывает бухгалтер, который отвечает за учет имущества. Дата открытия карточки — день, когда в бухучете отразили вложения на счете 0 106 00. Дата закрытия карточки — день, когда приняли объект к учету, например, отразили на счете 0 101 00 или расформировали капвложения.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+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 xml:space="preserve">При оплате из разных источников в графе «Номер счета капитальных вложений» в счете бухучета в 5–18-м разрядах поставьте нули, а в реквизите «при </w:t>
      </w:r>
      <w:proofErr w:type="spellStart"/>
      <w:r w:rsidRPr="00E975A5">
        <w:rPr>
          <w:rFonts w:ascii="Times New Roman" w:hAnsi="Times New Roman" w:cs="Times New Roman"/>
          <w:sz w:val="28"/>
          <w:szCs w:val="28"/>
        </w:rPr>
        <w:t>софинансировании</w:t>
      </w:r>
      <w:proofErr w:type="spellEnd"/>
      <w:r w:rsidRPr="00E975A5">
        <w:rPr>
          <w:rFonts w:ascii="Times New Roman" w:hAnsi="Times New Roman" w:cs="Times New Roman"/>
          <w:sz w:val="28"/>
          <w:szCs w:val="28"/>
        </w:rPr>
        <w:t>» укажите номера счетов капвложений по каждому источнику. В разделе 1 в графе 3 «код» ставьте код ФАИП, если этого кода нет, поставьте нули — исходя из разрядности кода ФАИП.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Посмотрите на образце, как должна быть оформлена карточка учета капвложений (ф. 0509211)</w:t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8879FF" wp14:editId="4CBD10CA">
            <wp:extent cx="5940425" cy="3411245"/>
            <wp:effectExtent l="0" t="0" r="3175" b="0"/>
            <wp:docPr id="2" name="Рисунок 2" descr="https://e.profkiosk.ru/media/d06d0996-f28a-4569-a47d-5bef32d2000c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media/d06d0996-f28a-4569-a47d-5bef32d2000c/images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730AB48" wp14:editId="2127EADC">
            <wp:extent cx="5940425" cy="3411245"/>
            <wp:effectExtent l="0" t="0" r="3175" b="0"/>
            <wp:docPr id="3" name="Рисунок 3" descr="https://e.profkiosk.ru/media/d06d0996-f28a-4569-a47d-5bef32d2000c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media/d06d0996-f28a-4569-a47d-5bef32d2000c/images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3BFE78F" wp14:editId="642335DC">
            <wp:extent cx="5940425" cy="3411245"/>
            <wp:effectExtent l="0" t="0" r="3175" b="0"/>
            <wp:docPr id="4" name="Рисунок 4" descr="https://e.profkiosk.ru/media/d06d0996-f28a-4569-a47d-5bef32d2000c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d06d0996-f28a-4569-a47d-5bef32d2000c/images/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Акт приемки (ф. 0510452).</w:t>
      </w:r>
      <w:r w:rsidRPr="00E975A5">
        <w:rPr>
          <w:rFonts w:ascii="Times New Roman" w:hAnsi="Times New Roman" w:cs="Times New Roman"/>
          <w:sz w:val="28"/>
          <w:szCs w:val="28"/>
        </w:rPr>
        <w:t> Он нужен, чтобы оформить приемку основных средств, закупка которых не проходит через ЕИС, и поставить на учет денежное обязательство.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+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Когда дата поставки совпадает с датами приемки, сложностей не возникает. Акт (ф. 0510452) — документ-основание, чтобы принять основное средство на баланс. Если же есть расхождения между датой поставки и приемки, то возникает проблема с документальным оформлением. Мы рекомендуем составлять приходный ордер (ф. 0504207). Возможно, в ближайшее время Минфин выпустит разъяснения на этот счет.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Образец акта приемки товаров, работ, услуг (ф. 0510452)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75A5">
        <w:rPr>
          <w:rFonts w:ascii="Times New Roman" w:hAnsi="Times New Roman" w:cs="Times New Roman"/>
          <w:i/>
          <w:iCs/>
          <w:sz w:val="28"/>
          <w:szCs w:val="28"/>
        </w:rPr>
        <w:t>Посмотрите в статье, как заполнить реквизиты нового акта приемки (ф. 0510452). А скачать его образец с пояснениями вы можете в конце статьи. Применять этот документ нужно, чтобы оформить приемку.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+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Новый акт приемки (ф. 0510452) нужен, чтобы оформить приемку товаров, работ или услуг, закупка которых не проходит через ЕИС, например, по Закону № 223-ФЗ, и поставить на учет денежное обязательство. Используйте документ, чтобы предъявить претензию отправителю, который поставил товар не полностью или с нарушениями выполнил обязательства, например, поставил товар ненадлежащего качества. 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 xml:space="preserve">Акт (ф. 0510452) формирует ответственное лицо из приемочной комиссии. В заголовочной части в строке «Основание приемки товаров, работ, услуг» указывает контракт или договор, а в кодовой зоне – его номер, дату и идентификатор </w:t>
      </w:r>
      <w:proofErr w:type="spellStart"/>
      <w:r w:rsidRPr="00E975A5">
        <w:rPr>
          <w:rFonts w:ascii="Times New Roman" w:hAnsi="Times New Roman" w:cs="Times New Roman"/>
          <w:sz w:val="28"/>
          <w:szCs w:val="28"/>
        </w:rPr>
        <w:t>госконтракта</w:t>
      </w:r>
      <w:proofErr w:type="spellEnd"/>
      <w:r w:rsidRPr="00E975A5">
        <w:rPr>
          <w:rFonts w:ascii="Times New Roman" w:hAnsi="Times New Roman" w:cs="Times New Roman"/>
          <w:sz w:val="28"/>
          <w:szCs w:val="28"/>
        </w:rPr>
        <w:t>. В строке «Документ об отгрузке» проставляет документ, по которому принимает товар, работу или услугу: товарная или транспортная накладная, акт выполненных работ или услуг. Если при приемке есть недостатки, указывает это в графе 18 раздела 4 «Сведения о приемке товаров, работ, услуг» и заполняет раздел 5 «Сведения о количественном и качественном расхождении при приемке товаров, работ, услуг».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+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Подскажите ответственному лицу из приемочной комиссии, чтобы акт формировал с обязательным участием представителя контрагента или представителя незаинтересованной стороны, чтобы он сразу поставил подпись. Если представитель не может присутствовать при оформлении акта, пусть направит копию акта курьером. Другой вариант – отправить контрагенту скан-копию акта по электронной почте и попросить вернуть подписанный акт почтой.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Посмотрите на образце, как должен быть оформлен акт приемки (ф. 0510452)</w:t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702FE54" wp14:editId="78E3D78B">
            <wp:extent cx="5940425" cy="4251872"/>
            <wp:effectExtent l="0" t="0" r="3175" b="0"/>
            <wp:docPr id="5" name="Рисунок 5" descr="https://e.profkiosk.ru/media/1e0755be-96e4-401f-b32b-020200e84d20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.profkiosk.ru/media/1e0755be-96e4-401f-b32b-020200e84d20/images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70292C" wp14:editId="00E8247A">
            <wp:extent cx="5940425" cy="4203197"/>
            <wp:effectExtent l="0" t="0" r="3175" b="6985"/>
            <wp:docPr id="6" name="Рисунок 6" descr="https://e.profkiosk.ru/media/1e0755be-96e4-401f-b32b-020200e84d20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.profkiosk.ru/media/1e0755be-96e4-401f-b32b-020200e84d20/images/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A2DF47D" wp14:editId="200917AF">
            <wp:extent cx="5940425" cy="4251872"/>
            <wp:effectExtent l="0" t="0" r="3175" b="0"/>
            <wp:docPr id="7" name="Рисунок 7" descr="https://e.profkiosk.ru/media/1e0755be-96e4-401f-b32b-020200e84d20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.profkiosk.ru/media/1e0755be-96e4-401f-b32b-020200e84d20/images/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Акт о приеме-передаче НФА (ф. 0510448).</w:t>
      </w:r>
      <w:r w:rsidRPr="00E975A5">
        <w:rPr>
          <w:rFonts w:ascii="Times New Roman" w:hAnsi="Times New Roman" w:cs="Times New Roman"/>
          <w:sz w:val="28"/>
          <w:szCs w:val="28"/>
        </w:rPr>
        <w:t> Он нужен, чтобы безвозмездно принять основное средство, оприходовать излишки или если получили имущество в возмещение ущерба.</w:t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Образец акта о приеме-передаче объектов НФА (ф. 0510448)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75A5">
        <w:rPr>
          <w:rFonts w:ascii="Times New Roman" w:hAnsi="Times New Roman" w:cs="Times New Roman"/>
          <w:i/>
          <w:iCs/>
          <w:sz w:val="28"/>
          <w:szCs w:val="28"/>
        </w:rPr>
        <w:t>Посмотрите в статье, как заполнить реквизиты нового акта о приеме-передаче НФА (ф. 0510448). А скачать его образец с пояснениями вы можете в конце статьи. Применять этот документ нужно, например, чтобы передать или принять имущество.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В этом году обязательно оформите новый акт о приеме-передаче НФА (ф. 0510448), чтобы безвозмездно передать или принять имущество между учреждениями и другими правообладателями. Составьте акт, чтобы оприходовать излишки или ценности, которые остались при ликвидации или демонтаже основных средств, если получили имущество в возмещение ущерба или передаете объекты в ремонт, реконструкцию, модернизацию. Разобраться, когда какой документ оформлять при поступлении имущества поможет статья «</w:t>
      </w:r>
      <w:hyperlink r:id="rId13" w:tgtFrame="_blank" w:history="1">
        <w:r w:rsidRPr="00E975A5">
          <w:rPr>
            <w:rStyle w:val="a5"/>
            <w:rFonts w:ascii="Times New Roman" w:hAnsi="Times New Roman" w:cs="Times New Roman"/>
            <w:sz w:val="28"/>
            <w:szCs w:val="28"/>
          </w:rPr>
          <w:t xml:space="preserve">Схемы, как оформить поступление НФА: приходным ордером или новой </w:t>
        </w:r>
        <w:proofErr w:type="spellStart"/>
        <w:r w:rsidRPr="00E975A5">
          <w:rPr>
            <w:rStyle w:val="a5"/>
            <w:rFonts w:ascii="Times New Roman" w:hAnsi="Times New Roman" w:cs="Times New Roman"/>
            <w:sz w:val="28"/>
            <w:szCs w:val="28"/>
          </w:rPr>
          <w:t>первичкой</w:t>
        </w:r>
        <w:proofErr w:type="spellEnd"/>
      </w:hyperlink>
      <w:r w:rsidRPr="00E975A5">
        <w:rPr>
          <w:rFonts w:ascii="Times New Roman" w:hAnsi="Times New Roman" w:cs="Times New Roman"/>
          <w:sz w:val="28"/>
          <w:szCs w:val="28"/>
        </w:rPr>
        <w:t>».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lastRenderedPageBreak/>
        <w:t xml:space="preserve">Акт (ф. 0510448) заполняют обе стороны: передающая и принимающая. Но есть исключения - чтобы оприходовать излишки или </w:t>
      </w:r>
      <w:proofErr w:type="spellStart"/>
      <w:r w:rsidRPr="00E975A5">
        <w:rPr>
          <w:rFonts w:ascii="Times New Roman" w:hAnsi="Times New Roman" w:cs="Times New Roman"/>
          <w:sz w:val="28"/>
          <w:szCs w:val="28"/>
        </w:rPr>
        <w:t>матценности</w:t>
      </w:r>
      <w:proofErr w:type="spellEnd"/>
      <w:r w:rsidRPr="00E975A5">
        <w:rPr>
          <w:rFonts w:ascii="Times New Roman" w:hAnsi="Times New Roman" w:cs="Times New Roman"/>
          <w:sz w:val="28"/>
          <w:szCs w:val="28"/>
        </w:rPr>
        <w:t xml:space="preserve"> после ликвидации объектов, акт формируют в одностороннем порядке. В этом случае разделы 1, 2 и 4 заполняет комиссия учреждения.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Ответственное лицо передающей стороны формирует в акте три раздела: 1 «Сведения о передаваемых объектах нефинансовых активов», 2 «Индивидуальные характеристики объект</w:t>
      </w:r>
      <w:proofErr w:type="gramStart"/>
      <w:r w:rsidRPr="00E975A5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E975A5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E975A5">
        <w:rPr>
          <w:rFonts w:ascii="Times New Roman" w:hAnsi="Times New Roman" w:cs="Times New Roman"/>
          <w:sz w:val="28"/>
          <w:szCs w:val="28"/>
        </w:rPr>
        <w:t>)» и 3 «Сведения об ограничениях (обременениях)».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+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Получатель заполняет раздел 4 «Сведения о принятых объектах нефинансовых активов». Сюда переносит данные из информации передающей стороны. Если комиссия решила изменить аналитическую группу, вид имущества, метод амортизации и срок полезного использования, в акте нужно проставить измененные показатели.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Посмотрите на образце, как должен быть оформлен акт о приеме-передаче (ф. 0510448)</w:t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12A657" wp14:editId="7584381C">
            <wp:extent cx="5940425" cy="3720482"/>
            <wp:effectExtent l="0" t="0" r="3175" b="0"/>
            <wp:docPr id="8" name="Рисунок 8" descr="https://e.profkiosk.ru/media/1029e61a-1484-4da2-a095-280e3567c080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.profkiosk.ru/media/1029e61a-1484-4da2-a095-280e3567c080/images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CCCE8D9" wp14:editId="5C0DB55B">
            <wp:extent cx="5940425" cy="3720482"/>
            <wp:effectExtent l="0" t="0" r="3175" b="0"/>
            <wp:docPr id="9" name="Рисунок 9" descr="https://e.profkiosk.ru/media/1029e61a-1484-4da2-a095-280e3567c080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.profkiosk.ru/media/1029e61a-1484-4da2-a095-280e3567c080/images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5E0A91" wp14:editId="79C85E86">
            <wp:extent cx="5940425" cy="3720482"/>
            <wp:effectExtent l="0" t="0" r="3175" b="0"/>
            <wp:docPr id="10" name="Рисунок 10" descr="https://e.profkiosk.ru/media/1029e61a-1484-4da2-a095-280e3567c080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.profkiosk.ru/media/1029e61a-1484-4da2-a095-280e3567c080/images/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Решение о признании объектов НФА (ф. 0510441).</w:t>
      </w:r>
      <w:r w:rsidRPr="00E975A5">
        <w:rPr>
          <w:rFonts w:ascii="Times New Roman" w:hAnsi="Times New Roman" w:cs="Times New Roman"/>
          <w:sz w:val="28"/>
          <w:szCs w:val="28"/>
        </w:rPr>
        <w:t xml:space="preserve"> Оно необходимо, чтобы принять к учету основное средство, которое купили, создали </w:t>
      </w:r>
      <w:proofErr w:type="spellStart"/>
      <w:r w:rsidRPr="00E975A5">
        <w:rPr>
          <w:rFonts w:ascii="Times New Roman" w:hAnsi="Times New Roman" w:cs="Times New Roman"/>
          <w:sz w:val="28"/>
          <w:szCs w:val="28"/>
        </w:rPr>
        <w:t>хозспособом</w:t>
      </w:r>
      <w:proofErr w:type="spellEnd"/>
      <w:r w:rsidRPr="00E975A5">
        <w:rPr>
          <w:rFonts w:ascii="Times New Roman" w:hAnsi="Times New Roman" w:cs="Times New Roman"/>
          <w:sz w:val="28"/>
          <w:szCs w:val="28"/>
        </w:rPr>
        <w:t>, получили безвозмездно, в возмещение ущерба или обнаружили в виде излишков. Также оформляйте решение после реконструкции (модернизации), дооборудования. Какой документ мы рекомендуем применять и когда, посмотрите в схеме.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Образец решения о признании объектов нефинансовых активов (ф. 0510441)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lastRenderedPageBreak/>
        <w:t>Посмотрите в статье, как заполнить реквизиты решения о признании объектов НФА (ф. 0510441). А скачать его образец с пояснениями вы можете в конце статьи. Без решения вы не вправе отразить на балансе, например, основные средства.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 xml:space="preserve">Решение (ф. 0510441) оформляют, чтобы принять к учету объекты имущества, которые купили, создали </w:t>
      </w:r>
      <w:proofErr w:type="spellStart"/>
      <w:r w:rsidRPr="00E975A5">
        <w:rPr>
          <w:rFonts w:ascii="Times New Roman" w:hAnsi="Times New Roman" w:cs="Times New Roman"/>
          <w:sz w:val="28"/>
          <w:szCs w:val="28"/>
        </w:rPr>
        <w:t>хозспособом</w:t>
      </w:r>
      <w:proofErr w:type="spellEnd"/>
      <w:r w:rsidRPr="00E975A5">
        <w:rPr>
          <w:rFonts w:ascii="Times New Roman" w:hAnsi="Times New Roman" w:cs="Times New Roman"/>
          <w:sz w:val="28"/>
          <w:szCs w:val="28"/>
        </w:rPr>
        <w:t>, получили безвозмездно, в возмещение ущерба или обнаружили в виде излишков. Также оформляйте после реконструкции (модернизации), дооборудования.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Решение (ф. 0510441) формирует комиссия по поступлению и выбытию активов. В заголовочной части выбирает тип решения в зависимости от того, как поступило имущество. Например: «признание объектов нефинансовых активов в связи с приобретением». Графу 12 «Дата ввода в эксплуатацию» в разделе 1 «Сведения об объекте» заполняет, только если тип решения — «Признание (удорожание) объектов нефинансовых активов при реконструкции (модернизации), дооборудовании».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>+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t xml:space="preserve">В разделе 4 «Решение, принятое по объекту» в графе 4 необходимо поставить «Готов к эксплуатации». Если комиссия поддержала решение, в графе 5 «Итог голосования» указывает процент </w:t>
      </w:r>
      <w:proofErr w:type="gramStart"/>
      <w:r w:rsidRPr="00E975A5">
        <w:rPr>
          <w:rFonts w:ascii="Times New Roman" w:hAnsi="Times New Roman" w:cs="Times New Roman"/>
          <w:sz w:val="28"/>
          <w:szCs w:val="28"/>
        </w:rPr>
        <w:t>проголосовавших</w:t>
      </w:r>
      <w:proofErr w:type="gramEnd"/>
      <w:r w:rsidRPr="00E975A5">
        <w:rPr>
          <w:rFonts w:ascii="Times New Roman" w:hAnsi="Times New Roman" w:cs="Times New Roman"/>
          <w:sz w:val="28"/>
          <w:szCs w:val="28"/>
        </w:rPr>
        <w:t xml:space="preserve"> положительно, а графу 6 «Резолюция по итогу голосования» не заполняет. Комиссия не поддержала решение — в графе 6 ставят «Снято с обсуждения».</w:t>
      </w: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>Посмотрите на образце, как должно быть оформлено решение (ф. 0510441)</w:t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D021810" wp14:editId="546228CE">
            <wp:extent cx="5940425" cy="4534720"/>
            <wp:effectExtent l="0" t="0" r="3175" b="0"/>
            <wp:docPr id="11" name="Рисунок 11" descr="https://e.profkiosk.ru/media/d9cc9a6f-617d-45b4-9890-96019a4c7a62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.profkiosk.ru/media/d9cc9a6f-617d-45b4-9890-96019a4c7a62/images/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441B5E" wp14:editId="38DADD8F">
            <wp:extent cx="5940425" cy="4534720"/>
            <wp:effectExtent l="0" t="0" r="3175" b="0"/>
            <wp:docPr id="12" name="Рисунок 12" descr="https://e.profkiosk.ru/media/d9cc9a6f-617d-45b4-9890-96019a4c7a62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.profkiosk.ru/media/d9cc9a6f-617d-45b4-9890-96019a4c7a62/images/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503BF8D" wp14:editId="3BD863E8">
            <wp:extent cx="5940425" cy="4534720"/>
            <wp:effectExtent l="0" t="0" r="3175" b="0"/>
            <wp:docPr id="13" name="Рисунок 13" descr="https://e.profkiosk.ru/media/d9cc9a6f-617d-45b4-9890-96019a4c7a62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.profkiosk.ru/media/d9cc9a6f-617d-45b4-9890-96019a4c7a62/images/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75A5">
        <w:rPr>
          <w:rFonts w:ascii="Times New Roman" w:hAnsi="Times New Roman" w:cs="Times New Roman"/>
          <w:b/>
          <w:bCs/>
          <w:sz w:val="28"/>
          <w:szCs w:val="28"/>
        </w:rPr>
        <w:t xml:space="preserve">На основании </w:t>
      </w:r>
      <w:proofErr w:type="gramStart"/>
      <w:r w:rsidRPr="00E975A5">
        <w:rPr>
          <w:rFonts w:ascii="Times New Roman" w:hAnsi="Times New Roman" w:cs="Times New Roman"/>
          <w:b/>
          <w:bCs/>
          <w:sz w:val="28"/>
          <w:szCs w:val="28"/>
        </w:rPr>
        <w:t>какой</w:t>
      </w:r>
      <w:proofErr w:type="gramEnd"/>
      <w:r w:rsidRPr="00E975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975A5">
        <w:rPr>
          <w:rFonts w:ascii="Times New Roman" w:hAnsi="Times New Roman" w:cs="Times New Roman"/>
          <w:b/>
          <w:bCs/>
          <w:sz w:val="28"/>
          <w:szCs w:val="28"/>
        </w:rPr>
        <w:t>первички</w:t>
      </w:r>
      <w:proofErr w:type="spellEnd"/>
      <w:r w:rsidRPr="00E975A5">
        <w:rPr>
          <w:rFonts w:ascii="Times New Roman" w:hAnsi="Times New Roman" w:cs="Times New Roman"/>
          <w:b/>
          <w:bCs/>
          <w:sz w:val="28"/>
          <w:szCs w:val="28"/>
        </w:rPr>
        <w:t xml:space="preserve"> отражать основные средства в 2024 году</w:t>
      </w:r>
    </w:p>
    <w:p w:rsid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75A5" w:rsidRPr="00E975A5" w:rsidRDefault="00E975A5" w:rsidP="00E975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75A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6D14AD" wp14:editId="1ABF1CF9">
            <wp:extent cx="5940425" cy="4135381"/>
            <wp:effectExtent l="0" t="0" r="3175" b="0"/>
            <wp:docPr id="14" name="Рисунок 14" descr="https://e.profkiosk.ru/service_tbn2/gytf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.profkiosk.ru/service_tbn2/gytfa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5A5" w:rsidRPr="00E97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A5"/>
    <w:rsid w:val="003E77BD"/>
    <w:rsid w:val="00E9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A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975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A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975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47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2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8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23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4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1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8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2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84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5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4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budgetnik.ru/1073927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e.budgetnik.ru/1073927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1411</Words>
  <Characters>8045</Characters>
  <Application>Microsoft Office Word</Application>
  <DocSecurity>0</DocSecurity>
  <Lines>67</Lines>
  <Paragraphs>18</Paragraphs>
  <ScaleCrop>false</ScaleCrop>
  <Company/>
  <LinksUpToDate>false</LinksUpToDate>
  <CharactersWithSpaces>9438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2024-03-04T08:11:00Z</dcterms:created>
  <dcterms:modified xsi:type="dcterms:W3CDTF">2024-03-04T08:21:00Z</dcterms:modified>
</cp:coreProperties>
</file>