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gridSpan w:val="3"/>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УТВЕРЖДАЮ</w:t>
            </w:r>
            <w:r>
              <w:br/>
            </w:r>
            <w:r>
              <w:rPr>
                <w:rFonts w:hAnsi="Times New Roman" w:cs="Times New Roman"/>
                <w:color w:val="000000"/>
                <w:sz w:val="24"/>
                <w:szCs w:val="24"/>
              </w:rPr>
              <w:t>Директор </w:t>
            </w:r>
            <w:r>
              <w:rPr>
                <w:rFonts w:hAnsi="Times New Roman" w:cs="Times New Roman"/>
                <w:color w:val="000000"/>
                <w:sz w:val="24"/>
                <w:szCs w:val="24"/>
              </w:rPr>
              <w:t>МБУК «Альфа»</w:t>
            </w:r>
          </w:p>
        </w:tc>
      </w:tr>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r>
              <w:rPr>
                <w:rFonts w:hAnsi="Times New Roman" w:cs="Times New Roman"/>
                <w:color w:val="000000"/>
                <w:sz w:val="24"/>
                <w:szCs w:val="24"/>
              </w:rPr>
              <w:t>Львов</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r>
              <w:rPr>
                <w:rFonts w:hAnsi="Times New Roman" w:cs="Times New Roman"/>
                <w:color w:val="000000"/>
                <w:sz w:val="24"/>
                <w:szCs w:val="24"/>
              </w:rPr>
              <w:t>Львов А.В.</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19"/>
                <w:szCs w:val="19"/>
                <w:vertAlign w:val="superscript"/>
              </w:rPr>
              <w:t>(фамилия, инициалы)</w:t>
            </w:r>
          </w:p>
        </w:tc>
      </w:tr>
      <w:tr>
        <w:trPr>
          <w:trHeight w:val="0"/>
        </w:trPr>
        <w:tc>
          <w:tcPr>
            <w:tcW w:w="0" w:type="auto"/>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16.05.2021</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Должностная инструкция</w:t>
      </w:r>
      <w:r>
        <w:br/>
      </w:r>
      <w:r>
        <w:rPr>
          <w:rFonts w:hAnsi="Times New Roman" w:cs="Times New Roman"/>
          <w:b/>
          <w:bCs/>
          <w:color w:val="000000"/>
          <w:sz w:val="24"/>
          <w:szCs w:val="24"/>
        </w:rPr>
        <w:t>ответственного лица за выполнение мероприятий</w:t>
      </w:r>
      <w:r>
        <w:br/>
      </w:r>
      <w:r>
        <w:rPr>
          <w:rFonts w:hAnsi="Times New Roman" w:cs="Times New Roman"/>
          <w:b/>
          <w:bCs/>
          <w:color w:val="000000"/>
          <w:sz w:val="24"/>
          <w:szCs w:val="24"/>
        </w:rPr>
        <w:t>по антитеррористической защите объекта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Настоящей инструкцией устанавливаются права и обязанности ответственного лица за выполнение мероприятий по антитеррористической защите объекта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ответственного лица за выполнение мероприятий по антитеррористической защите осуществляется приказом (распоряжением) руководителя, из числа своих заместителей, по возможности из лиц, имеющих высшее профессиональное образование, опыт руководящей работы или стаж службы в правоохранительных структурах.</w:t>
      </w:r>
    </w:p>
    <w:p>
      <w:pPr>
        <w:spacing w:line="240" w:lineRule="auto"/>
        <w:rPr>
          <w:rFonts w:hAnsi="Times New Roman" w:cs="Times New Roman"/>
          <w:color w:val="000000"/>
          <w:sz w:val="24"/>
          <w:szCs w:val="24"/>
        </w:rPr>
      </w:pPr>
      <w:r>
        <w:rPr>
          <w:rFonts w:hAnsi="Times New Roman" w:cs="Times New Roman"/>
          <w:color w:val="000000"/>
          <w:sz w:val="24"/>
          <w:szCs w:val="24"/>
        </w:rPr>
        <w:t>В трудовом договоре (контракте) по должности, в соответствии со штатным расписанием, либо дополнительным договором (соглашением) устанавливается размер ежемесячной доплаты и устанавливается время на осуществление ответственным лицом мероприятий по антитеррористической защите.</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Ответственное лицо за выполнение мероприятий по антитеррористической защите при организации мероприятий должен использовать в работе и знать: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требования Конституции РФ, законов РФ, указов и распоряжений Президента РФ, постановлений и распоряжений Правительства РФ, законодательство субъекта РФ </w:t>
      </w:r>
      <w:r>
        <w:rPr>
          <w:rFonts w:hAnsi="Times New Roman" w:cs="Times New Roman"/>
          <w:color w:val="000000"/>
          <w:sz w:val="24"/>
          <w:szCs w:val="24"/>
        </w:rPr>
        <w:t>Московской области</w:t>
      </w:r>
      <w:r>
        <w:rPr>
          <w:rFonts w:hAnsi="Times New Roman" w:cs="Times New Roman"/>
          <w:color w:val="000000"/>
          <w:sz w:val="24"/>
          <w:szCs w:val="24"/>
        </w:rPr>
        <w:t>, постановления и распоряжения местных исполнительных органов власти, решения территориального Совета безопасности и антитеррористической комиссии, иные нормативные правовые документы, регулирующие нормы и требования по вопросам организации общественной безопасности и антитеррористической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основы административного, трудового, уголовного законодательства, основные правила и нормы охраны груда, пожарной и электрической безопасности в части организации безопасного функционирования учреждения;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обеспечения гражданской обороны, противопожарной защиты и действий персонала в чрезвычайных ситуациях;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особенности расположения учреждения, требования по обеспечению технической укрепленности и антитеррористической защиты объекта (учреждения);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осуществления пропускного режима на территорию и помещения объекта (учреждения) ;</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распорядка, установленные в учреждении;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основы ведения делопроизводства и владения компьютерной техникой.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Должностные обязанности</w:t>
      </w:r>
    </w:p>
    <w:p>
      <w:pPr>
        <w:spacing w:line="240" w:lineRule="auto"/>
        <w:rPr>
          <w:rFonts w:hAnsi="Times New Roman" w:cs="Times New Roman"/>
          <w:color w:val="000000"/>
          <w:sz w:val="24"/>
          <w:szCs w:val="24"/>
        </w:rPr>
      </w:pPr>
      <w:r>
        <w:rPr>
          <w:rFonts w:hAnsi="Times New Roman" w:cs="Times New Roman"/>
          <w:color w:val="000000"/>
          <w:sz w:val="24"/>
          <w:szCs w:val="24"/>
        </w:rPr>
        <w:t>На лицо, ответственное за выполнение мероприятии по антитеррористической защите, возлагаются следующие обязанности: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другими органами и организациями, находящимися на территории муниципального образования по вопросам обеспечения общественно безопасности и антитеррористической защиты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обеспечение охранной деятельности и пропускного режима на территории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внесение предложений руководителю учреждения по совершенствованию системы мер безопасности и антитеррористической защиты объекта;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разработка, в рамках своей компетенции, документов и инструкций по действиям должностных лиц, персонала, обучающихся (воспитанников) учреждения при угрозе или совершении диверсионно-террористического акта, экстремистской 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принятие необходимых мер по оснащению учреждения техническими средствами безопасности и обеспечение их нормального функционирования;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координация деятельности учреждения при угрозе или совершении диверсионно-террористического акта, экстремистской 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разработка планирующей и отчетной документации по вопросам безопасности и антитеррористической защиты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размещение наглядной агитации по антитеррористической защите учреждения, справочной документации по способам и средствам экстренной связи с правоохранительными органами, органами ГО и ЧС, аварийными службами ЖКХ;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контроль за соблюдением установленных правил трудового и внутреннего распорядка дня. условий содержания в безопасном состоянии помещений учреждения;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подготовка планов мероприятий, проектов приказов и распоряжений руководителя учреждения по вопросам антитеррористической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учреждения, техногенным авариям и происшествиям;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контроля за правомерным и безопасным использованием помещений учреждения, сдаваемых в аренду, проведением;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ремонтных и строительных работ, в том числе на предмет выявления фактов возможной подготовки террористических актов;</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взаимодействие с общественностью по вопросам обеспечения общественною порядка и антитеррористической защиты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Права</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Ответственное лицо за выполнение мероприятий по антитеррористической защите имеет право: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участвовать в подготовке проектов приказов и распоряжений руководителя учреждения по вопросам обеспечения общественной безопасности и антитеррористической защиты учреждения;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подписывать и визировать документы в пределах своей компетенции;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инициировать и проводить совещания по вопросам антитеррористической зашиты учреждения, обеспечения общественной безопасности на объекте;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запрашивать и получать от руководства и сотрудников учреждения необходимую информацию и документы по вопросам обеспечения общественной безопасности и антитеррористической защиты объекта;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отдавать распоряжения сотрудникам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установленном порядке вносить дополнения, изменения в инструкции по мерам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проверки состояния внутриобъектового режима охраны, функционирования и выполнения установленною распорядка, правил пропускного режима;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 согласованные с руководством учреждения решения по вопросам организации и проведения мероприятий по обеспечению безопасности, антитеррористической защиты учреждения;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 поручению руководителя учреждения представительствовать в различных органах и организациях по вопросам, входящим в его компетенцию.</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С инструкцией ознакомлен(а):</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Специалист по охране труда</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 xml:space="preserve">Баренцев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17.09.2021</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Баренцев П.И.</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3591ddcf6a84d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