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D7" w:rsidRDefault="00FA36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white"/>
        </w:rPr>
      </w:pPr>
    </w:p>
    <w:p w:rsidR="00FA36D7" w:rsidRDefault="00FF7F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Приложение к приказу</w:t>
      </w:r>
    </w:p>
    <w:p w:rsidR="00FA36D7" w:rsidRDefault="00FF7F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управления образования администрации</w:t>
      </w:r>
    </w:p>
    <w:p w:rsidR="00FA36D7" w:rsidRDefault="00FF7F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муниципального образования </w:t>
      </w:r>
    </w:p>
    <w:p w:rsidR="00FA36D7" w:rsidRDefault="00FF7F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Апшеронский район</w:t>
      </w:r>
    </w:p>
    <w:p w:rsidR="00FA36D7" w:rsidRPr="00FF7F76" w:rsidRDefault="00FF7F7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  <w:highlight w:val="white"/>
          <w:u w:val="single"/>
        </w:rPr>
      </w:pPr>
      <w:r w:rsidRPr="00FF7F76">
        <w:rPr>
          <w:rFonts w:ascii="Times New Roman" w:hAnsi="Times New Roman" w:cs="Times New Roman"/>
          <w:b/>
          <w:i/>
          <w:sz w:val="26"/>
          <w:szCs w:val="26"/>
          <w:highlight w:val="white"/>
          <w:u w:val="single"/>
        </w:rPr>
        <w:t>от   07.03.</w:t>
      </w:r>
      <w:r w:rsidRPr="00FF7F76">
        <w:rPr>
          <w:rFonts w:ascii="Times New Roman" w:hAnsi="Times New Roman" w:cs="Times New Roman"/>
          <w:b/>
          <w:i/>
          <w:sz w:val="26"/>
          <w:szCs w:val="26"/>
          <w:highlight w:val="white"/>
          <w:u w:val="single"/>
        </w:rPr>
        <w:t>2017 г. № 354/</w:t>
      </w:r>
      <w:r w:rsidRPr="00FF7F76">
        <w:rPr>
          <w:rFonts w:ascii="Times New Roman" w:hAnsi="Times New Roman" w:cs="Times New Roman"/>
          <w:b/>
          <w:i/>
          <w:sz w:val="26"/>
          <w:szCs w:val="26"/>
          <w:highlight w:val="white"/>
          <w:u w:val="single"/>
        </w:rPr>
        <w:t>01-03</w:t>
      </w:r>
      <w:r w:rsidRPr="00FF7F76">
        <w:rPr>
          <w:rFonts w:ascii="Times New Roman" w:hAnsi="Times New Roman" w:cs="Times New Roman"/>
          <w:b/>
          <w:i/>
          <w:sz w:val="26"/>
          <w:szCs w:val="26"/>
          <w:highlight w:val="white"/>
          <w:u w:val="single"/>
        </w:rPr>
        <w:t xml:space="preserve"> </w:t>
      </w:r>
    </w:p>
    <w:p w:rsidR="00FA36D7" w:rsidRDefault="00FA3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A36D7" w:rsidRDefault="00FA3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A36D7" w:rsidRDefault="00FA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FA36D7" w:rsidRDefault="00FF7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«Дорожная карта»</w:t>
      </w:r>
    </w:p>
    <w:p w:rsidR="00FA36D7" w:rsidRDefault="00FF7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муниципального образования Апшеронский район</w:t>
      </w:r>
    </w:p>
    <w:p w:rsidR="00FA36D7" w:rsidRDefault="00FF7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 организации отдыха и занятости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детей и подростков </w:t>
      </w:r>
    </w:p>
    <w:p w:rsidR="00FA36D7" w:rsidRDefault="00FF7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управлением образования администрации муниципального образования </w:t>
      </w:r>
    </w:p>
    <w:p w:rsidR="00FA36D7" w:rsidRDefault="00FF7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Апшеронский район в период летней кампании 2017 года</w:t>
      </w:r>
    </w:p>
    <w:p w:rsidR="00FA36D7" w:rsidRDefault="00FA3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A36D7" w:rsidRDefault="00FA3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A36D7" w:rsidRDefault="00FF7F7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1. Цель</w:t>
      </w:r>
      <w:r>
        <w:rPr>
          <w:rFonts w:ascii="Times New Roman" w:hAnsi="Times New Roman" w:cs="Times New Roman"/>
          <w:sz w:val="28"/>
          <w:szCs w:val="28"/>
          <w:highlight w:val="white"/>
        </w:rPr>
        <w:t>: обеспечение развития организованного отдыха, занятости детей и подростков в каникулярный период 2017 года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муниципальном образовании Апшеронский район.</w:t>
      </w:r>
    </w:p>
    <w:p w:rsidR="00FA36D7" w:rsidRDefault="00FF7F7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Задачи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FA36D7" w:rsidRDefault="00FF7F7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обеспечение доступности организованным отдыхом и занятостью всех категорий детей и подростков, в приоритетном порядке детей из неполных, многодетных семей, детей-сирот, детей, оставшихся без поп</w:t>
      </w:r>
      <w:r>
        <w:rPr>
          <w:rFonts w:ascii="Times New Roman" w:hAnsi="Times New Roman" w:cs="Times New Roman"/>
          <w:sz w:val="28"/>
          <w:szCs w:val="28"/>
          <w:highlight w:val="white"/>
        </w:rPr>
        <w:t>ечения родителей, детей с ограниченными возможностями здоровья;</w:t>
      </w:r>
    </w:p>
    <w:p w:rsidR="00FA36D7" w:rsidRDefault="00FF7F7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развитие и укрепление связей школы, семьи, общественности,          учреждений культуры, здравоохранения в организации каникулярного отдыха, занятости детей; </w:t>
      </w:r>
    </w:p>
    <w:p w:rsidR="00FA36D7" w:rsidRDefault="00FF7F7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-обеспечение систематического м</w:t>
      </w:r>
      <w:r>
        <w:rPr>
          <w:rFonts w:ascii="Times New Roman" w:hAnsi="Times New Roman" w:cs="Times New Roman"/>
          <w:sz w:val="28"/>
          <w:szCs w:val="28"/>
          <w:highlight w:val="white"/>
        </w:rPr>
        <w:t>ониторинга за летним отдыхом учащихся, находящихся в трудной жизненной ситуации, детей из семей, находящихся в социально-опасном положении, учащихся с которыми проводится индивидуально-профилактическая работа, учащихся, имеющих скрытый потенциал к совершен</w:t>
      </w:r>
      <w:r>
        <w:rPr>
          <w:rFonts w:ascii="Times New Roman" w:hAnsi="Times New Roman" w:cs="Times New Roman"/>
          <w:sz w:val="28"/>
          <w:szCs w:val="28"/>
          <w:highlight w:val="white"/>
        </w:rPr>
        <w:t>ию правонарушений;</w:t>
      </w:r>
    </w:p>
    <w:p w:rsidR="00FA36D7" w:rsidRDefault="00FF7F7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создание благоприятных условий для развития личности, раскрытия творческого потенциала, укрепления физического и эмоционального здоровья; </w:t>
      </w:r>
    </w:p>
    <w:p w:rsidR="00FA36D7" w:rsidRDefault="00FF7F7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-повышение качества организации досуговой деятельности, воспитательной работы;</w:t>
      </w:r>
    </w:p>
    <w:p w:rsidR="00FA36D7" w:rsidRDefault="00FF7F7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ведение совмест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ной межведомственной работы по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организции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отдыха и занятости детей;</w:t>
      </w:r>
    </w:p>
    <w:p w:rsidR="00FA36D7" w:rsidRDefault="00FF7F7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создание необходимой материально-технической базы для безопасности функционирования профильных лагерей  с дневным пребыванием на базе общеобразовательных учреждений, снижение рисков возн</w:t>
      </w:r>
      <w:r>
        <w:rPr>
          <w:rFonts w:ascii="Times New Roman" w:hAnsi="Times New Roman" w:cs="Times New Roman"/>
          <w:sz w:val="28"/>
          <w:szCs w:val="28"/>
          <w:highlight w:val="white"/>
        </w:rPr>
        <w:t>икновения пожаров, чрезвычайных ситуаций, обеспечение антитеррористической защищенности.</w:t>
      </w:r>
    </w:p>
    <w:p w:rsidR="00FA36D7" w:rsidRDefault="00FF7F7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3. Ожидаемый результат:</w:t>
      </w:r>
    </w:p>
    <w:p w:rsidR="00FA36D7" w:rsidRDefault="00FF7F7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создание условий для эффективного отдыха и занятости детей и подростков в образовательных организациях муниципального образования Апшеронский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район;</w:t>
      </w:r>
    </w:p>
    <w:p w:rsidR="00FA36D7" w:rsidRDefault="00FF7F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lastRenderedPageBreak/>
        <w:t xml:space="preserve">- 100% охват различными формами отдыха и занятости несовершеннолетних в период летней оздоровительной кампании 2017 года;  </w:t>
      </w:r>
    </w:p>
    <w:p w:rsidR="00FA36D7" w:rsidRDefault="00FF7F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>- сокращение детского подросткового травматизма, количества правонарушений среди несовершеннолетних учащихся;</w:t>
      </w:r>
    </w:p>
    <w:p w:rsidR="00FA36D7" w:rsidRDefault="00FF7F76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- 100% охват летним отдыхом и занятостью несовершеннолетних, состоящих на профилактических учетах. </w:t>
      </w:r>
    </w:p>
    <w:p w:rsidR="00FA36D7" w:rsidRDefault="00FF7F76">
      <w:pPr>
        <w:pStyle w:val="a9"/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4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летней  кампании 2016 года в сравнении с итогами 2015 года и задачи на 2017 год: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муниципальном образовании Апшеронский район 25 общеобразовательных учреждений, количество учащихся по состоянию на 1 сентября 2016 года составляло 9831 человек. В течение трех летних месяцев 2016 года на территории муниципального образования была организ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ована работа 28, что на 3 больше чем в 2015 году, лагерей с  дневным пребыванием детей на базе 15 (в 2015г.-14 школ) образовательных учреждений района с организацией 2-х разового питания детей и подростков.  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Всего за летний период 2016 года в лагерях днев</w:t>
      </w:r>
      <w:r>
        <w:rPr>
          <w:rFonts w:ascii="Times New Roman" w:hAnsi="Times New Roman" w:cs="Times New Roman"/>
          <w:sz w:val="28"/>
          <w:szCs w:val="28"/>
          <w:highlight w:val="white"/>
        </w:rPr>
        <w:t>ного пребывания отдохнуло 2171 детей и подростков, это на 126 детей больше, чем в 2015 году ( всего 2045 детей, в том числе 123 - за счет родительских средств).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Из общего количества детей 207  подростков трудились и отдыхали в 13 лагерях труда и отдыха с д</w:t>
      </w:r>
      <w:r>
        <w:rPr>
          <w:rFonts w:ascii="Times New Roman" w:hAnsi="Times New Roman" w:cs="Times New Roman"/>
          <w:sz w:val="28"/>
          <w:szCs w:val="28"/>
          <w:highlight w:val="white"/>
        </w:rPr>
        <w:t>невным пребыванием детей при 12 школах, это на 65 детей больше, чем в 2015 году (142), и на 1 лагерь больше, чем в 2015 году.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Объем финансирования для проведения летней кампании в 2016 году 3152 тыс.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из краевого бюджета, что на 1277 тыс.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больше, че</w:t>
      </w:r>
      <w:r>
        <w:rPr>
          <w:rFonts w:ascii="Times New Roman" w:hAnsi="Times New Roman" w:cs="Times New Roman"/>
          <w:sz w:val="28"/>
          <w:szCs w:val="28"/>
          <w:highlight w:val="white"/>
        </w:rPr>
        <w:t>м в 2015 году (в 2015 года - 1875 тыс. руб.) и 538 тыс. руб. из районного бюджета аналогично  2015 году.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26 школьников, победителей различных конкурсов приняли участие в краевых профильных сменах на морском побережье в детском санаторно-оздоровительном лаг</w:t>
      </w:r>
      <w:r>
        <w:rPr>
          <w:rFonts w:ascii="Times New Roman" w:hAnsi="Times New Roman" w:cs="Times New Roman"/>
          <w:sz w:val="28"/>
          <w:szCs w:val="28"/>
          <w:highlight w:val="white"/>
        </w:rPr>
        <w:t>ере «Морская волна». Они стали участниками смен «Летняя математическая школа», «Юные спортсмены»,  «Юный техник», «Летний университет старшеклассников», «Юный эколог», «Юный журналист Кубани», «Радуга талантов», это на 18 детей меньше, чем в 2015 году (в 2</w:t>
      </w:r>
      <w:r>
        <w:rPr>
          <w:rFonts w:ascii="Times New Roman" w:hAnsi="Times New Roman" w:cs="Times New Roman"/>
          <w:sz w:val="28"/>
          <w:szCs w:val="28"/>
          <w:highlight w:val="white"/>
        </w:rPr>
        <w:t>015 году — 44).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7 талантливых детей побывали в Международном детском центре    «Артек», аналогично 2015 году.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698 (468 - в 2015 г.) школьника в период летних каникул были охвачены работой школьных лесничеств, что на 230 детей больше чем в 2015 году. 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highlight w:val="white"/>
        </w:rPr>
        <w:t>1493 (1059 — в 2015 г.) учащихся была организована работа школьных ремонтных бригад, на 434 больше, чем в 2015 году.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196 несовершеннолетних граждан в период с марта по август 2016 года были трудоустроены при образовательных учреждениях в качестве подсобных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рабочих, аналогично 2015 году. 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Заработная плата в сумме 500 тыс. руб. выплачена школами. Материальная поддержка осуществлялась Центром занятости населения Апшеронского района. 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52 отряда «Новых тимуровцев» и волонтерских отрядов в количестве 789 детей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могали ветеранам, занимались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уходными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работами за памятниками.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В течение лета 2308 подростков приняли участие в работе палаточных туристических лагерей, на 62 учащегося меньше, чем в 2015 году. </w:t>
      </w:r>
    </w:p>
    <w:p w:rsidR="00FA36D7" w:rsidRDefault="00FA36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однодневных экскурсиях по Краснодарскому краю и за его пре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делами побывали 7751 (5018 детей и подростков в 2015 году). 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Велосипедным туризмом занимались 1870 (1047 ребенка в 2015 году).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 краткосрочных походах побывали 705 школьников, в 2015 году не было условия с обязательной одной ночевкой (4762 школьника в 201</w:t>
      </w:r>
      <w:r>
        <w:rPr>
          <w:rFonts w:ascii="Times New Roman" w:hAnsi="Times New Roman" w:cs="Times New Roman"/>
          <w:sz w:val="28"/>
          <w:szCs w:val="28"/>
          <w:highlight w:val="white"/>
        </w:rPr>
        <w:t>5 году).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краевой акции «Парки Кубани» приняли участие 8751(5056 ребенка в 2015 году).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8056 воспитанников была организована работа 305 дневных и вечерних площадок. В вечернее время во всех образовательных учреждениях работали педагоги дополнительного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образования, которые организовывали досуг школьников на спортивных площадках.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учреждениях дополнительного образования также была организована работа дневных и вечерних площадок, которые посетили 2010 детей.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Информация о ходе проведения летней оздоровительной кампании регулярно публикуется в местной газете «Апшеронский рабочий», на сайтах школ и управления образования.  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рамках 3 смены,  в июле и августе были организованы многодневные походы, туристические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леты и палаточные лагеря «Школа безопасности», «Возвращение к истокам», «По забытым тропам», в которых приняли участие более 2000 детей. 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Общий охват всеми формами отдыха, оздоровления и занятости детей и подростков в летний период 2016 года составляет 99%</w:t>
      </w:r>
      <w:r>
        <w:rPr>
          <w:rFonts w:ascii="Times New Roman" w:hAnsi="Times New Roman" w:cs="Times New Roman"/>
          <w:sz w:val="28"/>
          <w:szCs w:val="28"/>
          <w:highlight w:val="white"/>
        </w:rPr>
        <w:t>, что на 1,2 % больше, чем в  2015 году.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 всем формам отдыха, оздоровления и занятости привлекались дети из малообеспеченных, неполных, многодетных и неблагополучных семей, а также дети - сироты, несовершеннолетние «группы риска». 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Общеобразовательными у</w:t>
      </w:r>
      <w:r>
        <w:rPr>
          <w:rFonts w:ascii="Times New Roman" w:hAnsi="Times New Roman" w:cs="Times New Roman"/>
          <w:sz w:val="28"/>
          <w:szCs w:val="28"/>
          <w:highlight w:val="white"/>
        </w:rPr>
        <w:t>чреждениями используются различные формы активного отдыха в летний период для детей, состоящих на профилактическом учете. Количество таких детей и подростков уменьшилось вдвое по сравнению с 2015 годом.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14 (28 -в 2015 г.) учащихся, состоящих на различных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идах учета и находящихся в трудной жизненной ситуации, были трудоустроены. 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однодневных экскурсиях по краю приняли участие 14 (23 — в 2015 г.) человека, в краткосрочных экспедициях – 8 (16 - в 2015 г.) человек, в туристических слетах – 14 (20 — в 2015 г.</w:t>
      </w:r>
      <w:r>
        <w:rPr>
          <w:rFonts w:ascii="Times New Roman" w:hAnsi="Times New Roman" w:cs="Times New Roman"/>
          <w:sz w:val="28"/>
          <w:szCs w:val="28"/>
          <w:highlight w:val="white"/>
        </w:rPr>
        <w:t>) человек.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работе вечерних спортивных площадках были задействованы все 14 (28) учащихся, состоящие на профилактическом и внутришкольном учетах, в школьном лесничестве – 2 человека.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28 подростков были трудоустроены через отдел по делам молодежи и админист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рации городских и сельских поселений совместно с Центром занятости населения. </w:t>
      </w:r>
    </w:p>
    <w:p w:rsidR="00FA36D7" w:rsidRDefault="00FF7F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Данной формой отдыха было охвачено более 98% школьников.</w:t>
      </w:r>
    </w:p>
    <w:p w:rsidR="00FA36D7" w:rsidRDefault="00FA3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A36D7" w:rsidRDefault="00FF7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Задачи на 2017 год:</w:t>
      </w:r>
    </w:p>
    <w:p w:rsidR="00FA36D7" w:rsidRDefault="00FF7F7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- при организации работы профильных лагерей на базе образовательных организаций соблюдать меры по о</w:t>
      </w:r>
      <w:r>
        <w:rPr>
          <w:rFonts w:ascii="Times New Roman" w:hAnsi="Times New Roman" w:cs="Times New Roman"/>
          <w:sz w:val="28"/>
          <w:szCs w:val="28"/>
          <w:highlight w:val="white"/>
        </w:rPr>
        <w:t>беспечению безопасности детей и подростков,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соблюдать санитарно-эпидемиологические требования при организации питания детей и подростков;</w:t>
      </w:r>
    </w:p>
    <w:p w:rsidR="00FA36D7" w:rsidRDefault="00FF7F7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создание условий для эффективного отдыха и занятости детей и подростков в образовательных организациях муниципальног</w:t>
      </w:r>
      <w:r>
        <w:rPr>
          <w:rFonts w:ascii="Times New Roman" w:hAnsi="Times New Roman" w:cs="Times New Roman"/>
          <w:sz w:val="28"/>
          <w:szCs w:val="28"/>
          <w:highlight w:val="white"/>
        </w:rPr>
        <w:t>о образования Апшеронский район;</w:t>
      </w:r>
    </w:p>
    <w:p w:rsidR="00FA36D7" w:rsidRDefault="00FF7F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- 100% охват различными формами занятости несовершеннолетних в период летней  кампании 2017 года;  </w:t>
      </w:r>
    </w:p>
    <w:p w:rsidR="00FA36D7" w:rsidRDefault="00FF7F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>- сокращение детского подросткового травматизма, количества правонарушений среди несовершеннолетних учащихся;</w:t>
      </w:r>
    </w:p>
    <w:p w:rsidR="00FA36D7" w:rsidRDefault="00FF7F76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- 100% охват летним отдыхом и занятостью несовершеннолетних, состоящих на профилактических учетах. </w:t>
      </w:r>
    </w:p>
    <w:p w:rsidR="00FA36D7" w:rsidRDefault="00FA3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36D7" w:rsidRDefault="00FF7F76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Проблемы организации летней кампании в 2016 году и их решение в 2017 году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    не возникало.</w:t>
      </w:r>
    </w:p>
    <w:p w:rsidR="00FA36D7" w:rsidRDefault="00FA36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36D7" w:rsidRDefault="00FF7F76">
      <w:pPr>
        <w:pStyle w:val="a9"/>
        <w:spacing w:after="0" w:line="240" w:lineRule="auto"/>
        <w:ind w:left="0"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6.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План мероприятий по подготовке и организации летней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кампании 2017 года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FA36D7" w:rsidRDefault="00FA36D7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50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2"/>
        <w:gridCol w:w="4759"/>
        <w:gridCol w:w="1665"/>
        <w:gridCol w:w="2764"/>
      </w:tblGrid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FA36D7">
        <w:trPr>
          <w:cantSplit/>
          <w:trHeight w:val="527"/>
        </w:trPr>
        <w:tc>
          <w:tcPr>
            <w:tcW w:w="9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FA36D7" w:rsidRDefault="00FA36D7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6D7">
        <w:trPr>
          <w:cantSplit/>
          <w:trHeight w:val="159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Проведение совещаний в управлении образования по вопросам организации и проведения летней кампании, по обеспечению безопасного отдыха детей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 подростков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февраль-август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управление</w:t>
            </w: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образования</w:t>
            </w:r>
          </w:p>
        </w:tc>
      </w:tr>
      <w:tr w:rsidR="00FA36D7">
        <w:trPr>
          <w:cantSplit/>
          <w:trHeight w:val="267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Подготовка нормативно-правовых документов и материально- технической базы профильных лагерей дневного пребывания при общеобразовательных учреждениях, создав в них условия, необходимые для нравственного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 трудового воспитания детей и подростков, разносторонней культурно-массовой, спортивной и оздоровительной работы.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до 30.05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управление образования, директора школ, начальники лагерей </w:t>
            </w:r>
          </w:p>
        </w:tc>
      </w:tr>
      <w:tr w:rsidR="00FA36D7">
        <w:trPr>
          <w:cantSplit/>
          <w:trHeight w:val="1305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Обеспечение  организационной и методической подготовки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педагогических кадров профильных лагерей с дневным пребыванием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апрель- май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управление образования, директора школ, начальники лагерей</w:t>
            </w:r>
          </w:p>
        </w:tc>
      </w:tr>
      <w:tr w:rsidR="00FA36D7">
        <w:trPr>
          <w:cantSplit/>
          <w:trHeight w:val="181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Взаимодействие с родительской общественностью (проведение родительских собраний) в организации летнего отдыха, занятости детей и подростков, в том числе из «группы риска». 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апрель-май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директора школ</w:t>
            </w:r>
          </w:p>
        </w:tc>
      </w:tr>
      <w:tr w:rsidR="00FA36D7">
        <w:trPr>
          <w:cantSplit/>
          <w:trHeight w:val="96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Проведение классных часов с учащимися с целью их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ознакомления с программой летнего отдыха и занятости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апрель-май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директора школ</w:t>
            </w:r>
          </w:p>
        </w:tc>
      </w:tr>
      <w:tr w:rsidR="00FA36D7">
        <w:trPr>
          <w:cantSplit/>
          <w:trHeight w:val="69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Актуализация данных в едином Реестре детских здравниц Краснодарского края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апрель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директора школ, начальники лагерей </w:t>
            </w:r>
          </w:p>
        </w:tc>
      </w:tr>
      <w:tr w:rsidR="00FA36D7">
        <w:trPr>
          <w:cantSplit/>
          <w:trHeight w:val="129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Формирование базы данных детей и подростков,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охваченных различными формами отдыха и занятости в каникулярный период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май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директора школ</w:t>
            </w:r>
          </w:p>
        </w:tc>
      </w:tr>
      <w:tr w:rsidR="00FA36D7">
        <w:trPr>
          <w:cantSplit/>
          <w:trHeight w:val="102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Комплектование сотрудников профильных лагерей с дневным пребыванием детей и лагерей труда и отдыха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май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директора школ</w:t>
            </w:r>
          </w:p>
        </w:tc>
      </w:tr>
      <w:tr w:rsidR="00FA36D7">
        <w:trPr>
          <w:cantSplit/>
          <w:trHeight w:val="1101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Оформление тематического стенда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«Лето-2017», посвящённого организации и проведению летнего отдыха детей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май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директора школ </w:t>
            </w:r>
          </w:p>
        </w:tc>
      </w:tr>
      <w:tr w:rsidR="00FA36D7">
        <w:trPr>
          <w:cantSplit/>
          <w:trHeight w:val="239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Подготовка документов на открытие профильного лагеря с дневным пребыванием детей и подростков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 лагеря  труда и отдыха с дневным пребыванием в соответствии с СанПиН для представления в Белореченский филиал в Апшеронском районе ФБУЗ «Центр гигиены и эпидемиологии в Краснодарском крае»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апрель - май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управление образования, </w:t>
            </w: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директора школ, начальники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лагерей (заместители директоров по ВР)</w:t>
            </w:r>
          </w:p>
        </w:tc>
      </w:tr>
      <w:tr w:rsidR="00FA36D7">
        <w:trPr>
          <w:cantSplit/>
          <w:trHeight w:val="315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Разработка и представление в управление образования примерного двухразового десятидневного меню для детей в возрасте от 7 до 10 лет из расчёта стоимости набора продуктов питания не выше 107,07 руб. в день на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одного ребёнка и для детей в возрасте от  11 лет и старше не выше 127,24 руб. в день на одного ребёнка, прошедшего экспертизу в Белореченском филиале ФБУЗ «Центр гигиены и эпидемиологии в  Краснодарском крае»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апрель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директора школ, начальники лагерей (заме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стители          директоров по ВР)</w:t>
            </w:r>
          </w:p>
        </w:tc>
      </w:tr>
      <w:tr w:rsidR="00FA36D7">
        <w:trPr>
          <w:cantSplit/>
          <w:trHeight w:val="1351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Подготовка документов по организации временного трудоустройства несовершеннолетних на базе общеобразовательного учреждения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март-август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директора школ, начальники лагерей (заместители                 директоров по ВР) </w:t>
            </w:r>
          </w:p>
        </w:tc>
      </w:tr>
      <w:tr w:rsidR="00FA36D7">
        <w:trPr>
          <w:cantSplit/>
          <w:trHeight w:val="1215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Обеспечение сохранности жизни и здоровья детей, их безопасности при проведении мероприятий в период проведения  летней кампании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июнь-август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директора школ</w:t>
            </w:r>
          </w:p>
        </w:tc>
      </w:tr>
      <w:tr w:rsidR="00FA36D7">
        <w:trPr>
          <w:cantSplit/>
          <w:trHeight w:val="165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Обеспечение безопасной перевозки детей и охраны общественного порядка в детских профильных лагерях с дневным пребыванием детей и подростков и лагерях труда и отдыха с дневным пребыванием 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июнь-август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директора школ</w:t>
            </w:r>
          </w:p>
        </w:tc>
      </w:tr>
      <w:tr w:rsidR="00FA36D7">
        <w:trPr>
          <w:cantSplit/>
          <w:trHeight w:val="250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Обеспечение противопожарной безопасности в учреждениях в летний период. 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- эпидемиологического надзора объектами отдыха и занятости детей, контроль за медицинским обслуживанием, организацией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пимтания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 оздоровления детей в профильных 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агерях с дневным пребыванием и лагерях труда и отдыха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июнь-август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директора школ</w:t>
            </w:r>
          </w:p>
        </w:tc>
      </w:tr>
      <w:tr w:rsidR="00FA36D7">
        <w:trPr>
          <w:cantSplit/>
          <w:trHeight w:val="1894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Предусмотреть профилактические меры по предупреждению детского травматизма, пропаганде безопасности дорожного движения, профилактике правонарушений и преступности,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беспризорности и безнадзорности детей.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июнь-август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директора школ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Составление карты ежедневной  занятости учащихся в летний период (по классам)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до 20.05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заместители директоров по ВР</w:t>
            </w:r>
          </w:p>
        </w:tc>
      </w:tr>
      <w:tr w:rsidR="00FA36D7">
        <w:trPr>
          <w:cantSplit/>
          <w:trHeight w:val="1311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Составление планов индивидуальной работы в летний период с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учащимися, требующими особого педагогического внимания; графика посещения семей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до 20.05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заместители директоров по ВР</w:t>
            </w:r>
          </w:p>
        </w:tc>
      </w:tr>
      <w:tr w:rsidR="00FA36D7">
        <w:trPr>
          <w:cantSplit/>
          <w:trHeight w:val="180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Подготовка информации (отчетности) о планировании и ходе летней кампании, мониторинг организации летнего отдыха детей по окончанию смены профильных лагерей с дневным пребыванием детей и подростков и лагерей труда и отдыха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Еженедельно, ежемесячно, по запрос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директора школ, заместители директоров по ВР</w:t>
            </w:r>
          </w:p>
        </w:tc>
      </w:tr>
      <w:tr w:rsidR="00FA36D7">
        <w:trPr>
          <w:cantSplit/>
          <w:trHeight w:val="161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Освещение в средствах массовой информации и на сайтах образовательных учреждений и управления образования организации отдыха и занятости детей и подростков.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май–август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управление образования, директора школ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</w:p>
        </w:tc>
      </w:tr>
      <w:tr w:rsidR="00FA36D7">
        <w:trPr>
          <w:cantSplit/>
          <w:trHeight w:val="1695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Анализ работы по организации летнего отдыха детей по окончании смены профильных  лагерей с дневным пребыванием детей и лагерей труда и отдыха с дневным пребыванием.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июнь -август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управление образования, директора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школ</w:t>
            </w:r>
          </w:p>
        </w:tc>
      </w:tr>
      <w:tr w:rsidR="00FA36D7">
        <w:trPr>
          <w:cantSplit/>
          <w:trHeight w:val="1861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охвата «трудных» детей и подростков, детей из неблагополучных семей организованным отдыхом и занятостью в кружках и секциях, во внешкольных организациях, вовлечение в социально-значимые проекты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июнь -август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директора школ</w:t>
            </w:r>
          </w:p>
        </w:tc>
      </w:tr>
      <w:tr w:rsidR="00FA36D7">
        <w:trPr>
          <w:cantSplit/>
          <w:trHeight w:val="984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Проведение совместных оперативно - профилактических мероприятий «Подросток»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июнь -август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управление образования, директора школ</w:t>
            </w:r>
          </w:p>
        </w:tc>
      </w:tr>
      <w:tr w:rsidR="00FA36D7">
        <w:trPr>
          <w:cantSplit/>
          <w:trHeight w:val="1311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Организация, открытие и работа профильных лагерей с дневным пребыванием детей и подростков и лагерей труда и отдыха в обще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образовательных учреждениях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1 июня</w:t>
            </w: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(июнь-август)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управление образования, директора школ</w:t>
            </w:r>
          </w:p>
        </w:tc>
      </w:tr>
      <w:tr w:rsidR="00FA36D7">
        <w:trPr>
          <w:cantSplit/>
          <w:trHeight w:val="1311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Мониторинг деятельности образовательных учреждений по подготовке, организации и работе в период проведения летней кампании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май-август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управление образования,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комиссия по мониторингу</w:t>
            </w:r>
          </w:p>
        </w:tc>
      </w:tr>
      <w:tr w:rsidR="00FA36D7">
        <w:trPr>
          <w:cantSplit/>
          <w:trHeight w:val="107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подростков в возрасте от 14 до 18 лет трудоустройством в каникулярный период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март-август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управление </w:t>
            </w: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образования, директора школ совместно с ЦЗН</w:t>
            </w:r>
          </w:p>
        </w:tc>
      </w:tr>
      <w:tr w:rsidR="00FA36D7">
        <w:trPr>
          <w:cantSplit/>
          <w:trHeight w:val="971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 подростковых трудовых бригад в общеобразовательных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учреждениях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1 июня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управление образования, директора школ</w:t>
            </w:r>
          </w:p>
        </w:tc>
      </w:tr>
      <w:tr w:rsidR="00FA36D7">
        <w:trPr>
          <w:cantSplit/>
          <w:trHeight w:val="975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деятельности волонтерских отрядов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июнь-сентябрь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директора школ совместно с ЦЗН</w:t>
            </w:r>
          </w:p>
        </w:tc>
      </w:tr>
      <w:tr w:rsidR="00FA36D7">
        <w:trPr>
          <w:cantSplit/>
          <w:trHeight w:val="1815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 муниципальных профильных смен: Военно-полевые сборы, Зарница, Юный турист, Мы-дети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Кубани, В здоровом теле-здоровый дух, Сила в вере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июль-август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, директора школ, директора учреждений дополнительного образования</w:t>
            </w:r>
          </w:p>
        </w:tc>
      </w:tr>
      <w:tr w:rsidR="00FA36D7">
        <w:trPr>
          <w:cantSplit/>
          <w:trHeight w:val="1875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работы с казачьими классами и группами казачьей направленности в каникулярный период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июнь - 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управление образования, директора школ совместно с районным казачьим обществом (наставниками РКО)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малозатратных форм занятости и отдыха детей и подростков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май–август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директора школ и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FA36D7">
        <w:trPr>
          <w:cantSplit/>
          <w:trHeight w:val="390"/>
        </w:trPr>
        <w:tc>
          <w:tcPr>
            <w:tcW w:w="9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Экскурсионно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туристические, экологические мероприятия</w:t>
            </w:r>
          </w:p>
          <w:p w:rsidR="00FA36D7" w:rsidRDefault="00FA36D7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краевых туристских походах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директора школ, МБУДО ДДиЮТиЭ(ЮТ)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передвижного  палаточного лагеря «Школа безопасности», в том числе по направлениям: </w:t>
            </w: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экологическое,</w:t>
            </w: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патриотическо-казачье, </w:t>
            </w: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туристическое и др.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директора школ, директора учреждений дополнительного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однодневных и двухдневных  туристических походов по программам «Здесь проходила линия фронта», «Здесь проходил рубеж обороны», «По родному краю».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директора школ, МБУДО ДДиЮТиЭ(ЮТ)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тематических экскурсий: «Новороссийск-город герой»,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Михизеева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Поляна – незаживающая рана войны», «Станица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Махошевская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«Величие ратного подвига семьи Степановых», «Летопись трудовой и боевой славы Темрюка», «Екатеринодар - град Кубанской славы» и др.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>-июль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директора школ, МБУДО ДДиЮТиЭ(ЮТ)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туристского флэшмоба               на горе Белая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директора школ, МБУДО ДДиЮТиЭ(ЮТ)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туристского трехдневного слета  военно - пат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риотической направленности</w:t>
            </w: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«Во славу Кубанского казачества», </w:t>
            </w: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«С рюкзаком по боевым тропам Кубани»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директора школ, МБУДО ДДиЮТиЭ(ЮТ), ЦДТ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научно-исследовательской экологической  акции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Гуамском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ущелье </w:t>
            </w:r>
          </w:p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«Туризм в гармонии с природой»</w:t>
            </w:r>
          </w:p>
          <w:p w:rsidR="00FA36D7" w:rsidRDefault="00FA3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директора школ, МБУДО ДЭБЦ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научно-исследовательской экспедиции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«Древний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раскопкам древнего кита-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цитотерия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окрестностях г. Хадыженска</w:t>
            </w:r>
          </w:p>
          <w:p w:rsidR="00FA36D7" w:rsidRDefault="00FA36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школ, МБУДО ДЭБЦ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экологических экспедиций «Удивительные уголки родного предгорья»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директора школ, МБУДО ДЭБЦ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подвоза организованных групп детей к месту отдыха, оздоровления и </w:t>
            </w:r>
            <w:r>
              <w:rPr>
                <w:rFonts w:ascii="Times New Roman" w:hAnsi="Times New Roman"/>
                <w:sz w:val="24"/>
                <w:szCs w:val="24"/>
              </w:rPr>
              <w:t>обратно, к местам проведения районных профильных смен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директора школ, МБУДО ДДиЮТиЭ(ЮТ)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работы школьных лесничеств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директора школ совместно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hyperlink r:id="rId4">
              <w:r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ГБПОУ КК "Апшеронский лесх</w:t>
              </w:r>
              <w:r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оз-техникум"</w:t>
              </w:r>
            </w:hyperlink>
          </w:p>
        </w:tc>
      </w:tr>
      <w:tr w:rsidR="00FA36D7">
        <w:trPr>
          <w:cantSplit/>
          <w:trHeight w:val="974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участия обучающихся в муниципальной профильной смене «Забытыми тропами»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директора школ,  совместно отделом по делам молодежи муниципального образования Апшеронский район</w:t>
            </w:r>
          </w:p>
        </w:tc>
      </w:tr>
      <w:tr w:rsidR="00FA36D7">
        <w:trPr>
          <w:cantSplit/>
          <w:trHeight w:val="298"/>
        </w:trPr>
        <w:tc>
          <w:tcPr>
            <w:tcW w:w="9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A36D7" w:rsidRDefault="00FA36D7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Культурно-массовые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«Разноцветный мир детства» посвященная  Международному  дню защиты детей 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директора школ, ЦДТ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краевой акции «Свеча памяти»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директора школ,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учреждений дополнительного образования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мероприятия, посвященные Дню России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10 -12 июня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директора школ, ЦДТ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директора школ,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учреждений дополнительного образования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Флешмоб «Танцуй добро!», посвященный дню борьбы с наркоманией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директора школ, ЦДТ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молодежи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школ,  совместно отделом по делам молодежи муниципального образования Апшеронский район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программа, посвященная Дню семьи, любви и верности 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директора школ, ЦДТ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Летний фестиваль школьной лиги КВН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директора школ, ученическое самоуправление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фестиваль «Я так хочу,  чтобы лето не кончалось!», День открытых дверей учреждений дополнительного образования в рамках районного фестиваля 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последняя неделя августа 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совместно с отделом семьи, директора школ, директора учреждений дополнительного образования</w:t>
            </w:r>
          </w:p>
        </w:tc>
      </w:tr>
      <w:tr w:rsidR="00FA36D7">
        <w:trPr>
          <w:cantSplit/>
          <w:trHeight w:val="729"/>
        </w:trPr>
        <w:tc>
          <w:tcPr>
            <w:tcW w:w="9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A36D7" w:rsidRDefault="00FA36D7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Мероприятия, посвященные 80- летию образования Краснодарского края</w:t>
            </w:r>
          </w:p>
          <w:p w:rsidR="00FA36D7" w:rsidRDefault="00FA36D7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групп и классов казачьей направленности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директора школ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школьных музеев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директора школ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классных часов «История Краснодарского края», «Край мой — гордость моя»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директора школ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художественных и документальных фильмов военно- патриотической тематики из списка «100 лучших фильмов для школьников»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директора школ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несении Почетной Вахты памяти </w:t>
            </w:r>
            <w:r>
              <w:rPr>
                <w:rFonts w:ascii="Times New Roman" w:hAnsi="Times New Roman"/>
                <w:sz w:val="24"/>
                <w:szCs w:val="24"/>
              </w:rPr>
              <w:t>на Мемориальном комплексе «Вечный огонь» г. Апшеронска, г. Хадыженска</w:t>
            </w:r>
          </w:p>
          <w:p w:rsidR="00FA36D7" w:rsidRDefault="00FA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 (по графику)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директора школ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уходных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 за памятниками военной истории, закрепленными за общеобразовательными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  <w:p w:rsidR="00FA36D7" w:rsidRDefault="00FA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школ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участие в флэшмобе «Песни, опаленные войной» и «Вставай, страна огромная» в сквере 60 -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директора школ, директора учреждений дополнительного образования</w:t>
            </w:r>
          </w:p>
        </w:tc>
      </w:tr>
      <w:tr w:rsidR="00FA36D7">
        <w:trPr>
          <w:cantSplit/>
          <w:trHeight w:val="366"/>
        </w:trPr>
        <w:tc>
          <w:tcPr>
            <w:tcW w:w="9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Спортивные мероприятия</w:t>
            </w:r>
          </w:p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спортивных мероприятий, эстафет посвященных  Дню защиты детей, Дню физкультурника, Дню России в профильных лагерях с дневным пребыванием детей, в спортивных клубах и вечерних спортивных площадках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директора школ, ДЮСШ, </w:t>
            </w: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 «Старт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Всекубанский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турнир по уличному баскетболу на Кубок губернатора Краснодарского края среди детских дворовых команд 1, 2 этапы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директора школ, ДЮСШ, ДЮСШ «Старт» </w:t>
            </w:r>
            <w:r>
              <w:rPr>
                <w:rFonts w:ascii="Times New Roman" w:hAnsi="Times New Roman"/>
                <w:sz w:val="24"/>
                <w:szCs w:val="24"/>
              </w:rPr>
              <w:t>совместно с отделом физкультуры и спорта муниципального образования Апшеронский район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Всекубанский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турнир по футболу на Кубок губернатора Краснодарского края среди детских дворовых команд 1,2 этапы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- июль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директора школ, ДЮ</w:t>
            </w:r>
            <w:r>
              <w:rPr>
                <w:rFonts w:ascii="Times New Roman" w:hAnsi="Times New Roman"/>
                <w:sz w:val="24"/>
                <w:szCs w:val="24"/>
              </w:rPr>
              <w:t>СШ, ДЮСШ «Старт» совместно с отделом физкультуры и спорта муниципального образования Апшеронский район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спортивных мероприятий, посвященных Дню России. Массовый забег.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директора школ, ДЮСШ, ДЮСШ «Старт» совместно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отделом физкультуры и спорта муниципального образования Апшеронский район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«Игры, которые мы выбираем» (для детей и подростков «группы риска»)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директора школ, ДЮСШ, ДЮСШ «Старт» совместно с отделом физкультур</w:t>
            </w:r>
            <w:r>
              <w:rPr>
                <w:rFonts w:ascii="Times New Roman" w:hAnsi="Times New Roman"/>
                <w:sz w:val="24"/>
                <w:szCs w:val="24"/>
              </w:rPr>
              <w:t>ы и спорта муниципального образования Апшеронский район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ГТО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директора школ, ДЮСШ, ДЮСШ «Старт» совместно с отделом физкультуры и спорта муниципального образования Апшеронский район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школьных турниров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футболу и стритболу, турниров по футболу среди дворовых команд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директора школ, ДЮСШ, ДЮСШ «Старт» совместно с отделом физкультуры и спорта муниципального образования Апшеронский район</w:t>
            </w:r>
          </w:p>
        </w:tc>
      </w:tr>
      <w:tr w:rsidR="00FA36D7">
        <w:trPr>
          <w:cantSplit/>
          <w:trHeight w:val="72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различным </w:t>
            </w:r>
            <w:r>
              <w:rPr>
                <w:rFonts w:ascii="Times New Roman" w:hAnsi="Times New Roman"/>
                <w:sz w:val="24"/>
                <w:szCs w:val="24"/>
              </w:rPr>
              <w:t>видам спорта, посвященные Всероссийскому Дню физкультурника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директора школ, ДЮСШ, ДЮСШ «Старт» совместно с отделом физкультуры и спорта муниципального образования Апшеронский район</w:t>
            </w:r>
          </w:p>
        </w:tc>
      </w:tr>
    </w:tbl>
    <w:p w:rsidR="00FA36D7" w:rsidRDefault="00FA36D7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A36D7" w:rsidRDefault="00FF7F76">
      <w:pPr>
        <w:pStyle w:val="aa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7. Формы отдыха и занятости, планируемые 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период летней кампании 2017 года.</w:t>
      </w:r>
    </w:p>
    <w:p w:rsidR="00FA36D7" w:rsidRDefault="00FA36D7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A36D7" w:rsidRDefault="00FF7F7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учащихся - 9831, учащихся 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.- 260, от 10 лет - 6181, от 14 лет — 3099. </w:t>
      </w:r>
    </w:p>
    <w:p w:rsidR="00FA36D7" w:rsidRDefault="00FA36D7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9855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30"/>
        <w:gridCol w:w="2494"/>
        <w:gridCol w:w="1472"/>
        <w:gridCol w:w="1458"/>
        <w:gridCol w:w="2070"/>
        <w:gridCol w:w="1831"/>
      </w:tblGrid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(лагерей, смен и т.д.)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(кол-во/% (без учета выпускников 11-х классов)</w:t>
            </w: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9571 без 11-х классов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них, состоящих на профилактическом учете (количество/% (без учета выпускников 11-х классов)</w:t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(тыс. рублей), источник финансирования</w:t>
            </w: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профильные лагеря на базе общеобразовательных организаций и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об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разования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2777/29%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3/0,03%</w:t>
            </w:r>
          </w:p>
        </w:tc>
        <w:tc>
          <w:tcPr>
            <w:tcW w:w="187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411,4- муниципальный бюджет,</w:t>
            </w: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3640,8  краевой бюджет</w:t>
            </w: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_DdeLink__1413_653589966"/>
            <w:bookmarkEnd w:id="0"/>
            <w:r>
              <w:rPr>
                <w:rFonts w:ascii="Times New Roman" w:hAnsi="Times New Roman"/>
                <w:sz w:val="24"/>
                <w:szCs w:val="24"/>
              </w:rPr>
              <w:t>Муниципальные лагеря труда и отдыха на базе общеобразовательных организаций и организаций дополнительного образования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250/8%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4/0,1%</w:t>
            </w:r>
          </w:p>
        </w:tc>
        <w:tc>
          <w:tcPr>
            <w:tcW w:w="187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/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>
              <w:rPr>
                <w:rFonts w:ascii="Times New Roman" w:hAnsi="Times New Roman"/>
                <w:sz w:val="24"/>
                <w:szCs w:val="24"/>
              </w:rPr>
              <w:t>лагеря труда и отдыха круглосуточного пребывания на базе общеобразовательных организаций и организаций дополнительного образования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Трудоустройство в каникулярный период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196/2%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4/6,3%</w:t>
            </w: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 </w:t>
            </w: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Ремонтные бригады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1625/17%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4/6,3%</w:t>
            </w: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Палаточные лагеря:</w:t>
            </w: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стационарные</w:t>
            </w: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передвижные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0/8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0/2400/39%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7/0,1%</w:t>
            </w: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 муниципальный бюджет (подвоз, приобретение набора продуктов)</w:t>
            </w: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Походы:</w:t>
            </w: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краткосрочные (до 3-х дней)</w:t>
            </w: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многодневные (от 3-х дней)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1120/18%</w:t>
            </w:r>
          </w:p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1420/23%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7/0,1%</w:t>
            </w:r>
          </w:p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_DdeLink__4492_379639344"/>
            <w:bookmarkEnd w:id="1"/>
            <w:r>
              <w:rPr>
                <w:rFonts w:ascii="Times New Roman" w:hAnsi="Times New Roman"/>
                <w:sz w:val="24"/>
                <w:szCs w:val="24"/>
              </w:rPr>
              <w:t>7/0,1%</w:t>
            </w: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Однодневные экскурсии по краю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8300/87%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7/0,07%</w:t>
            </w: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за пределы района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1290/13,5%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7/0,07%</w:t>
            </w: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муниципальный бюджет (подвоз)</w:t>
            </w: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дневных тематических площадок (среднемесячный показатель)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4050/42,3%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7/0,07%</w:t>
            </w: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вечерних спортивных площадок (среднемесячный показатель) 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2967/31%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7/0,07%</w:t>
            </w: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формы </w:t>
            </w:r>
          </w:p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(июнь - август):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профильные смены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1260/20%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7/0,07%</w:t>
            </w: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 лет</w:t>
            </w: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Многодневные экспедиции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3550/37%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7/0,07%</w:t>
            </w: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Краткосрочные </w:t>
            </w:r>
            <w:r>
              <w:rPr>
                <w:rFonts w:ascii="Times New Roman" w:hAnsi="Times New Roman"/>
                <w:sz w:val="24"/>
                <w:szCs w:val="24"/>
              </w:rPr>
              <w:t>экспедиции (1-2 дня)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4830/50,4%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7/0,07%</w:t>
            </w: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Туристические слеты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8750/91%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7/0,07%</w:t>
            </w: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Велотуризм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1950/20,3%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7/0,07%</w:t>
            </w: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Туризм (тематический, событийный)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10550/110%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7/0,07%</w:t>
            </w: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Клубы: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8420/88%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7/0,07%</w:t>
            </w: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музейные 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5750/60%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7/0,07%</w:t>
            </w: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1730/18%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7/0,07%</w:t>
            </w: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лесничества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950/15,4%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7/0,07%</w:t>
            </w: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 лет</w:t>
            </w: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Волонтерские отряды, отряды Новых тимуровцев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850/27,4%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лет</w:t>
            </w:r>
          </w:p>
        </w:tc>
      </w:tr>
      <w:tr w:rsidR="00FA36D7"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акция «Парки Кубани»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3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9120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F7F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7/0,07%</w:t>
            </w:r>
          </w:p>
        </w:tc>
        <w:tc>
          <w:tcPr>
            <w:tcW w:w="18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FA36D7" w:rsidRDefault="00FA36D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36D7" w:rsidRDefault="00FA36D7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A36D7" w:rsidRDefault="00FA36D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36D7" w:rsidRDefault="00FF7F7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Н.Е. Щеблыкина</w:t>
      </w:r>
    </w:p>
    <w:sectPr w:rsidR="00FA36D7">
      <w:pgSz w:w="11906" w:h="16838"/>
      <w:pgMar w:top="851" w:right="566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D7"/>
    <w:rsid w:val="00FA36D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E91A"/>
  <w15:docId w15:val="{3C07A556-07FB-48A8-A413-F122DB9F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keepNext/>
      <w:spacing w:after="0" w:line="216" w:lineRule="auto"/>
      <w:jc w:val="center"/>
      <w:outlineLvl w:val="0"/>
    </w:pPr>
    <w:rPr>
      <w:rFonts w:ascii="Times New Roman Chuv" w:eastAsia="Times New Roman" w:hAnsi="Times New Roman Chuv" w:cs="Times New Roman"/>
      <w:b/>
      <w:bCs/>
    </w:r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qFormat/>
    <w:rPr>
      <w:rFonts w:ascii="Times New Roman Chuv" w:eastAsia="Times New Roman" w:hAnsi="Times New Roman Chuv" w:cs="Times New Roman"/>
      <w:b/>
      <w:bCs/>
      <w:lang w:eastAsia="ru-RU"/>
    </w:rPr>
  </w:style>
  <w:style w:type="character" w:customStyle="1" w:styleId="2">
    <w:name w:val="Основной текст 2 Знак"/>
    <w:basedOn w:val="a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1"/>
    <w:rPr>
      <w:color w:val="0000FF"/>
      <w:u w:val="single"/>
    </w:rPr>
  </w:style>
  <w:style w:type="character" w:customStyle="1" w:styleId="a4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paragraph" w:styleId="a0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20">
    <w:name w:val="Body Text 2"/>
    <w:basedOn w:val="a"/>
    <w:qFormat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qFormat/>
    <w:rPr>
      <w:rFonts w:eastAsia="Calibri" w:cs="Times New Roman"/>
      <w:color w:val="00000A"/>
      <w:sz w:val="22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ru/url?sa=t&amp;rct=j&amp;q=&amp;esrc=s&amp;source=web&amp;cd=1&amp;cad=rja&amp;uact=8&amp;ved=0ahUKEwiR-_i2xrXSAhUCEJoKHXjBBUwQFggbMAA&amp;url=http%3A%2F%2Falht.ru%2F&amp;usg=AFQjCNEAeSnyLu0EDjhRloWKK6Zu98r10g&amp;bvm=bv.148441817,d.b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Воспитание</dc:creator>
  <dc:description/>
  <cp:lastModifiedBy>Люба Управление</cp:lastModifiedBy>
  <cp:revision>2</cp:revision>
  <cp:lastPrinted>2017-03-02T14:02:00Z</cp:lastPrinted>
  <dcterms:created xsi:type="dcterms:W3CDTF">2017-03-15T11:27:00Z</dcterms:created>
  <dcterms:modified xsi:type="dcterms:W3CDTF">2017-03-15T11:27:00Z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