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45" w:rsidRDefault="00130345" w:rsidP="001303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Результаты анкетирования родителей.</w:t>
      </w:r>
    </w:p>
    <w:p w:rsidR="00130345" w:rsidRPr="004B4CEE" w:rsidRDefault="00130345" w:rsidP="001303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130345" w:rsidRDefault="00130345" w:rsidP="001303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B4CEE">
        <w:rPr>
          <w:rFonts w:ascii="Times New Roman" w:hAnsi="Times New Roman" w:cs="Times New Roman"/>
          <w:sz w:val="28"/>
        </w:rPr>
        <w:t xml:space="preserve">Обработка результатов анкетирования выявила, что </w:t>
      </w:r>
    </w:p>
    <w:p w:rsidR="00130345" w:rsidRPr="00A47905" w:rsidRDefault="00130345" w:rsidP="001303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7905">
        <w:rPr>
          <w:rFonts w:ascii="Times New Roman" w:hAnsi="Times New Roman" w:cs="Times New Roman"/>
          <w:sz w:val="28"/>
        </w:rPr>
        <w:t xml:space="preserve">34,7% родителей считают исследовательскую деятельность одним из условий интеллектуального развития детей, </w:t>
      </w:r>
    </w:p>
    <w:p w:rsidR="00130345" w:rsidRPr="00A47905" w:rsidRDefault="00130345" w:rsidP="001303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7905">
        <w:rPr>
          <w:rFonts w:ascii="Times New Roman" w:hAnsi="Times New Roman" w:cs="Times New Roman"/>
          <w:sz w:val="28"/>
        </w:rPr>
        <w:t xml:space="preserve">17,7% поощряют такую деятельность и способствуют созданию условий для организации детского экспериментирования дома, и лишь </w:t>
      </w:r>
    </w:p>
    <w:p w:rsidR="00130345" w:rsidRDefault="00130345" w:rsidP="001303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7905">
        <w:rPr>
          <w:rFonts w:ascii="Times New Roman" w:hAnsi="Times New Roman" w:cs="Times New Roman"/>
          <w:sz w:val="28"/>
        </w:rPr>
        <w:t xml:space="preserve">15,2% респондентов поддерживают интерес детей к экспериментированию, оказывают не только эмоциональную поддержку, но и включаются в совместную деятельность. </w:t>
      </w:r>
    </w:p>
    <w:p w:rsidR="00130345" w:rsidRPr="00A47905" w:rsidRDefault="00130345" w:rsidP="00130345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130345" w:rsidRDefault="00130345" w:rsidP="0013034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081CF0A" wp14:editId="7EF08307">
            <wp:extent cx="5911702" cy="5029200"/>
            <wp:effectExtent l="0" t="0" r="1333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740C8" w:rsidRDefault="00F740C8">
      <w:bookmarkStart w:id="0" w:name="_GoBack"/>
      <w:bookmarkEnd w:id="0"/>
    </w:p>
    <w:sectPr w:rsidR="00F7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762AD"/>
    <w:multiLevelType w:val="hybridMultilevel"/>
    <w:tmpl w:val="9EAA6C34"/>
    <w:lvl w:ilvl="0" w:tplc="7B20E0E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0F"/>
    <w:rsid w:val="00130345"/>
    <w:rsid w:val="006D510F"/>
    <w:rsid w:val="00F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A10C4-6700-4078-AF9D-C2C1CB79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Отношение родителей </a:t>
            </a: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 исследовательской деятельности</a:t>
            </a: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отношение родителей к исследовательской деятельности</c:v>
                </c:pt>
              </c:strCache>
            </c:strRef>
          </c:tx>
          <c:dPt>
            <c:idx val="0"/>
            <c:bubble3D val="0"/>
            <c:spPr>
              <a:gradFill flip="none" rotWithShape="1">
                <a:gsLst>
                  <a:gs pos="0">
                    <a:srgbClr val="00B0F0">
                      <a:shade val="30000"/>
                      <a:satMod val="115000"/>
                    </a:srgbClr>
                  </a:gs>
                  <a:gs pos="50000">
                    <a:srgbClr val="00B0F0">
                      <a:shade val="67500"/>
                      <a:satMod val="115000"/>
                    </a:srgbClr>
                  </a:gs>
                  <a:gs pos="100000">
                    <a:srgbClr val="00B0F0">
                      <a:shade val="100000"/>
                      <a:satMod val="115000"/>
                    </a:srgbClr>
                  </a:gs>
                </a:gsLst>
                <a:lin ang="0" scaled="1"/>
                <a:tileRect/>
              </a:gradFill>
            </c:spPr>
          </c:dPt>
          <c:dPt>
            <c:idx val="1"/>
            <c:bubble3D val="0"/>
            <c:spPr>
              <a:gradFill flip="none" rotWithShape="1">
                <a:gsLst>
                  <a:gs pos="0">
                    <a:srgbClr val="FF0000">
                      <a:shade val="30000"/>
                      <a:satMod val="115000"/>
                    </a:srgbClr>
                  </a:gs>
                  <a:gs pos="50000">
                    <a:srgbClr val="FF0000">
                      <a:shade val="67500"/>
                      <a:satMod val="115000"/>
                    </a:srgbClr>
                  </a:gs>
                  <a:gs pos="100000">
                    <a:srgbClr val="FF0000">
                      <a:shade val="100000"/>
                      <a:satMod val="115000"/>
                    </a:srgbClr>
                  </a:gs>
                </a:gsLst>
                <a:path path="circle">
                  <a:fillToRect t="100000" r="100000"/>
                </a:path>
                <a:tileRect l="-100000" b="-100000"/>
              </a:gradFill>
            </c:spPr>
          </c:dPt>
          <c:dPt>
            <c:idx val="2"/>
            <c:bubble3D val="0"/>
            <c:spPr>
              <a:gradFill flip="none" rotWithShape="1">
                <a:gsLst>
                  <a:gs pos="0">
                    <a:srgbClr val="92D050">
                      <a:shade val="30000"/>
                      <a:satMod val="115000"/>
                    </a:srgbClr>
                  </a:gs>
                  <a:gs pos="50000">
                    <a:srgbClr val="92D050">
                      <a:shade val="67500"/>
                      <a:satMod val="115000"/>
                    </a:srgbClr>
                  </a:gs>
                  <a:gs pos="100000">
                    <a:srgbClr val="92D050">
                      <a:shade val="100000"/>
                      <a:satMod val="115000"/>
                    </a:srgbClr>
                  </a:gs>
                </a:gsLst>
                <a:lin ang="2700000" scaled="1"/>
                <a:tileRect/>
              </a:gra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считают условием интеллектуального развития</c:v>
                </c:pt>
                <c:pt idx="1">
                  <c:v>поощряют экспериментирование дома</c:v>
                </c:pt>
                <c:pt idx="2">
                  <c:v>включаются в совместную деятельность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0.34699999999999998</c:v>
                </c:pt>
                <c:pt idx="1">
                  <c:v>0.17699999999999999</c:v>
                </c:pt>
                <c:pt idx="2">
                  <c:v>0.152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2016-01-20T13:58:00Z</dcterms:created>
  <dcterms:modified xsi:type="dcterms:W3CDTF">2016-01-20T13:59:00Z</dcterms:modified>
</cp:coreProperties>
</file>