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AD0" w:rsidRPr="00C74239" w:rsidRDefault="00C52AD0" w:rsidP="00C52AD0">
      <w:pPr>
        <w:spacing w:before="72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C74239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Итоговое сочинение (изложение)</w:t>
      </w:r>
    </w:p>
    <w:p w:rsidR="00C52AD0" w:rsidRPr="00C74239" w:rsidRDefault="00C52AD0" w:rsidP="00C52AD0">
      <w:pPr>
        <w:spacing w:after="288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7423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2017-2018 учебный год</w:t>
      </w:r>
    </w:p>
    <w:p w:rsidR="00C52AD0" w:rsidRPr="00C52AD0" w:rsidRDefault="00C52AD0" w:rsidP="00C52AD0">
      <w:pPr>
        <w:spacing w:after="288" w:line="240" w:lineRule="auto"/>
        <w:ind w:firstLine="708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52AD0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Советом по вопросам проведения итогового сочинения в выпускных классах под председательством Н.Д. Солженицыной определены 5 открытых направлений тем итогового сочинения на 2017/18 учебный год. </w:t>
      </w:r>
    </w:p>
    <w:p w:rsidR="00C52AD0" w:rsidRPr="00C74239" w:rsidRDefault="00C52AD0" w:rsidP="00C52AD0">
      <w:pPr>
        <w:spacing w:after="288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C7423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5 открытых направлений тем итогового сочинения на 2017/18 учебный год:</w:t>
      </w:r>
    </w:p>
    <w:p w:rsidR="00C52AD0" w:rsidRPr="00C74239" w:rsidRDefault="00C52AD0" w:rsidP="00C52AD0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C7423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«Верность и измена»,</w:t>
      </w:r>
    </w:p>
    <w:p w:rsidR="00C52AD0" w:rsidRPr="00C74239" w:rsidRDefault="00C52AD0" w:rsidP="00C52AD0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C7423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«Равнодушие и отзывчивость»,</w:t>
      </w:r>
    </w:p>
    <w:p w:rsidR="00C52AD0" w:rsidRPr="00C74239" w:rsidRDefault="00C52AD0" w:rsidP="00C52AD0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C7423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«Цели и средства»,</w:t>
      </w:r>
    </w:p>
    <w:p w:rsidR="00C52AD0" w:rsidRPr="00C74239" w:rsidRDefault="00C52AD0" w:rsidP="00C52AD0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C7423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«Смелость и трусость»,</w:t>
      </w:r>
    </w:p>
    <w:p w:rsidR="00C52AD0" w:rsidRPr="00C74239" w:rsidRDefault="00C52AD0" w:rsidP="00C52AD0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C7423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«Человек и общество».</w:t>
      </w:r>
    </w:p>
    <w:p w:rsidR="00C52AD0" w:rsidRPr="00C52AD0" w:rsidRDefault="00C52AD0" w:rsidP="00C52AD0">
      <w:pPr>
        <w:spacing w:after="288" w:line="240" w:lineRule="auto"/>
        <w:ind w:firstLine="708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52AD0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Как и в предыдущие годы, итоговое сочинение является допуском выпускников к государственной итоговой аттестации. При этом обучающиеся с ограниченными возможностями здоровья вправе выбрать написание изложения. Результатом итогового сочинения является «зачет» или «незачет». Если выпускник получил за итоговое сочинение неудовлетворительный результат, ему предоставляется возможность его пересдать.</w:t>
      </w:r>
    </w:p>
    <w:p w:rsidR="00C52AD0" w:rsidRPr="00C52AD0" w:rsidRDefault="00C52AD0" w:rsidP="00C52AD0">
      <w:pPr>
        <w:spacing w:after="288" w:line="240" w:lineRule="auto"/>
        <w:ind w:firstLine="708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52AD0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 рамках открытых направлений тем итогового сочинения разрабатываются конкретные темы итогового сочинения (подбираются тексты изложений) для каждого часового пояса отдельно. Конкретные темы итогового сочинения (тексты изложений) доставляются в органы управления образованием на местах в день проведения итогового сочинения (изложения).</w:t>
      </w:r>
    </w:p>
    <w:p w:rsidR="00C52AD0" w:rsidRPr="00C52AD0" w:rsidRDefault="00C52AD0" w:rsidP="00C52AD0">
      <w:pPr>
        <w:spacing w:after="288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23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Комментарий к открытым тематическим направлениям 2017/18 </w:t>
      </w:r>
      <w:r w:rsidRPr="00C52A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учебного года, подготовленный специалистами ФГБНУ «ФИПИ»</w:t>
      </w:r>
    </w:p>
    <w:p w:rsidR="00C52AD0" w:rsidRPr="00C74239" w:rsidRDefault="00C52AD0" w:rsidP="00C52AD0">
      <w:pPr>
        <w:spacing w:after="288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C7423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1. «Верность и измена». </w:t>
      </w:r>
    </w:p>
    <w:p w:rsidR="00C52AD0" w:rsidRPr="00C52AD0" w:rsidRDefault="00C52AD0" w:rsidP="00C52AD0">
      <w:pPr>
        <w:spacing w:after="288" w:line="240" w:lineRule="auto"/>
        <w:ind w:firstLine="708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52AD0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 рамках направления можно рассуждать о верности и измене как противоположных проявлениях человеческой личности, рассматривая их с философской, этической, психологической точек зрения и обращаясь к жизненным и литературным примерам.</w:t>
      </w:r>
      <w:r w:rsidRPr="00C52AD0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Понятия «верность» и «измена» оказываются в центре сюжетов многих произведений разных эпох и характеризуют поступки героев в ситуации нравственного выбора как в личностных взаимоотношениях, так и в социальном контексте.</w:t>
      </w:r>
    </w:p>
    <w:p w:rsidR="00C52AD0" w:rsidRPr="00C74239" w:rsidRDefault="00C52AD0" w:rsidP="00C52AD0">
      <w:pPr>
        <w:spacing w:after="288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C7423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2. «Равнодушие и отзывчивость»</w:t>
      </w:r>
    </w:p>
    <w:p w:rsidR="00C52AD0" w:rsidRPr="00C52AD0" w:rsidRDefault="00C52AD0" w:rsidP="00C52AD0">
      <w:pPr>
        <w:spacing w:after="288" w:line="240" w:lineRule="auto"/>
        <w:ind w:firstLine="708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52AD0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Темы данного направления нацеливают учащихся на осмысление разных типов отношения человека к людям и к миру (безразличие к </w:t>
      </w:r>
      <w:r w:rsidRPr="00C52AD0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lastRenderedPageBreak/>
        <w:t>окружающим, нежелание тратить душевные силы на чужую жизнь или искренняя готовность разделить с ближним его радости и беды, оказать ему бескорыстную помощь).</w:t>
      </w:r>
      <w:r w:rsidRPr="00C52AD0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В литературе мы встречаем, с одной стороны, героев с горячим сердцем, готовых откликаться на чужие радости и беды, а с другой – персонажей, воплощающих противоположный, эгоистический, тип личности.</w:t>
      </w:r>
    </w:p>
    <w:p w:rsidR="00C52AD0" w:rsidRPr="00C74239" w:rsidRDefault="00C52AD0" w:rsidP="00C52AD0">
      <w:pPr>
        <w:spacing w:after="288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C7423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3. «Цели и средства» </w:t>
      </w:r>
    </w:p>
    <w:p w:rsidR="00C52AD0" w:rsidRPr="00C52AD0" w:rsidRDefault="00C52AD0" w:rsidP="00C52AD0">
      <w:pPr>
        <w:spacing w:after="288" w:line="240" w:lineRule="auto"/>
        <w:ind w:firstLine="708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52AD0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Понятия данного направления взаимосвязаны и позволяют задуматься о жизненных устремлениях человека, важности осмысленного целеполагания, умении правильно соотносить цель и средства ее достижения, а также об этической оценке действий человека.</w:t>
      </w:r>
      <w:r w:rsidRPr="00C52AD0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Во многих литературных произведениях представлены персонажи, намеренно или ошибочно избравшие негодные средства для реализации своих планов. И нередко оказывается, что благая цель служит лишь прикрытием истинных (низменных) планов. Таким персонажам противопоставлены герои, для которых средства достижения высокой цели неотделимы от требований морали.</w:t>
      </w:r>
    </w:p>
    <w:p w:rsidR="00C52AD0" w:rsidRPr="00C74239" w:rsidRDefault="00C52AD0" w:rsidP="00C52AD0">
      <w:pPr>
        <w:spacing w:after="288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C7423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4. «Смелость и трусость» </w:t>
      </w:r>
    </w:p>
    <w:p w:rsidR="00C52AD0" w:rsidRPr="00C52AD0" w:rsidRDefault="00C52AD0" w:rsidP="00C52AD0">
      <w:pPr>
        <w:spacing w:after="288" w:line="240" w:lineRule="auto"/>
        <w:ind w:firstLine="708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52AD0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 основе данного направления лежит сопоставление противоположных проявлений человеческого «я»: готовности к решительным поступкам и стремления спрятаться от опасности, уклониться от разрешения сложных, порой экстремальных жизненных ситуаций.</w:t>
      </w:r>
      <w:r w:rsidRPr="00C52AD0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На страницах многих литературных произведений представлены как герои, способные к смелым действиям, так и персонажи, демонстрирующие слабость духа и отсутствие воли.</w:t>
      </w:r>
    </w:p>
    <w:p w:rsidR="00C52AD0" w:rsidRPr="00C74239" w:rsidRDefault="00C52AD0" w:rsidP="00C52AD0">
      <w:pPr>
        <w:spacing w:after="288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C7423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5. «Человек и общество»</w:t>
      </w:r>
    </w:p>
    <w:p w:rsidR="00C52AD0" w:rsidRPr="00C52AD0" w:rsidRDefault="00C52AD0" w:rsidP="00C52AD0">
      <w:pPr>
        <w:spacing w:after="288" w:line="240" w:lineRule="auto"/>
        <w:ind w:firstLine="708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52AD0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Для тем данного направления актуален взгляд на человека как представителя социума. Общество во многом формирует личность, но и личность способна оказывать влияние на социум. Темы позволят рассмотреть проблему личности и общества с разных сторон: с точки зрения их гармоничного взаимодействия, сложного противостояния или непримиримого конфликта. Не менее важно задуматься об условиях, при которых человек должен подчиниться общественным законам, а общество – учитывать интересы каждого человека. Литература всегда проявляла интерес к проблеме взаимоотношений человека и общества, созидательным или разрушительным последствиям этого взаимодействия для отдельной личности и для человеческой цивилизации.</w:t>
      </w:r>
    </w:p>
    <w:p w:rsidR="00C74239" w:rsidRDefault="00C74239" w:rsidP="00C52AD0">
      <w:pPr>
        <w:spacing w:after="288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C74239" w:rsidRDefault="00C74239" w:rsidP="00C52AD0">
      <w:pPr>
        <w:spacing w:after="288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C52AD0" w:rsidRPr="00C74239" w:rsidRDefault="00C52AD0" w:rsidP="00C74239">
      <w:pPr>
        <w:spacing w:after="288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C7423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lastRenderedPageBreak/>
        <w:t>ОБЩАЯ ИНФОРМАЦИЯ:</w:t>
      </w:r>
    </w:p>
    <w:p w:rsidR="00C52AD0" w:rsidRPr="00C52AD0" w:rsidRDefault="00C52AD0" w:rsidP="00C52AD0">
      <w:pPr>
        <w:spacing w:after="288" w:line="240" w:lineRule="auto"/>
        <w:ind w:firstLine="708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52AD0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Изложение вправе писать следующие категории лиц:</w:t>
      </w:r>
    </w:p>
    <w:p w:rsidR="00C52AD0" w:rsidRPr="00C52AD0" w:rsidRDefault="00C52AD0" w:rsidP="00C52AD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52AD0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обучающиеся с ограниченными возможностями здоровья или дети-инвалиды и инвалиды;</w:t>
      </w:r>
    </w:p>
    <w:p w:rsidR="00C52AD0" w:rsidRPr="00C52AD0" w:rsidRDefault="00C52AD0" w:rsidP="00C52AD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52AD0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C52AD0" w:rsidRPr="00C52AD0" w:rsidRDefault="00C52AD0" w:rsidP="00C52AD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52AD0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C52AD0" w:rsidRPr="00C52AD0" w:rsidRDefault="00C52AD0" w:rsidP="00C52AD0">
      <w:pPr>
        <w:spacing w:after="288" w:line="240" w:lineRule="auto"/>
        <w:ind w:firstLine="708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52AD0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Итоговое сочинение по желанию могут писать и выпускники прошлых лет для представления его результатов при поступлении в вузы.</w:t>
      </w:r>
    </w:p>
    <w:p w:rsidR="00C52AD0" w:rsidRPr="00C74239" w:rsidRDefault="00C52AD0" w:rsidP="00C52AD0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bookmarkStart w:id="0" w:name="_GoBack"/>
      <w:bookmarkEnd w:id="0"/>
      <w:r w:rsidRPr="00C7423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Время написания – 3 часа 55 минут</w:t>
      </w:r>
      <w:r w:rsidRPr="00C7423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 </w:t>
      </w:r>
    </w:p>
    <w:p w:rsidR="00C52AD0" w:rsidRPr="00C52AD0" w:rsidRDefault="00C52AD0" w:rsidP="00C52AD0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52AD0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Экзаменационный комплект включает 5 тем сочинений из закрытого перечня (по одной теме от каждого открытого тематического направления).</w:t>
      </w:r>
    </w:p>
    <w:p w:rsidR="00C52AD0" w:rsidRPr="00C52AD0" w:rsidRDefault="00C52AD0" w:rsidP="00C52AD0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52AD0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Сами темы сочинений станут известны выпускникам за 15 минут до начала экзамена. Результатом итогового сочинения (изложения) будет «зачет» или «незачет», однако к сдаче единого государственного экзамена и государственного выпускного экзамена допустят только выпускников, получивших «зачет».</w:t>
      </w:r>
    </w:p>
    <w:p w:rsidR="00C52AD0" w:rsidRPr="00C52AD0" w:rsidRDefault="00C52AD0" w:rsidP="00C52AD0">
      <w:pPr>
        <w:spacing w:after="288" w:line="240" w:lineRule="auto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52AD0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Темы, как и в прошлом году, будут сформированы по часовым поясам.</w:t>
      </w:r>
    </w:p>
    <w:p w:rsidR="00C52AD0" w:rsidRPr="00C52AD0" w:rsidRDefault="00C52AD0" w:rsidP="00C52AD0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52AD0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Сочинение оценивается по пяти критериям: соответствие теме; аргументация, привлечение литературного материала; композиция; качество речи; грамотность. </w:t>
      </w:r>
    </w:p>
    <w:p w:rsidR="00C52AD0" w:rsidRPr="00C52AD0" w:rsidRDefault="00C52AD0" w:rsidP="00C52AD0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52AD0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Проверяют сочинения (изложения) Комиссии образовательных организаций.</w:t>
      </w:r>
    </w:p>
    <w:p w:rsidR="002420E0" w:rsidRDefault="002420E0"/>
    <w:sectPr w:rsidR="002420E0" w:rsidSect="00C74239">
      <w:pgSz w:w="11906" w:h="16838"/>
      <w:pgMar w:top="709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16E5C"/>
    <w:multiLevelType w:val="multilevel"/>
    <w:tmpl w:val="3970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B56EC5"/>
    <w:multiLevelType w:val="multilevel"/>
    <w:tmpl w:val="932E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BA5"/>
    <w:rsid w:val="002420E0"/>
    <w:rsid w:val="00654BA5"/>
    <w:rsid w:val="00C52AD0"/>
    <w:rsid w:val="00C7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FD37F"/>
  <w15:chartTrackingRefBased/>
  <w15:docId w15:val="{13B88EF7-3D19-4D6C-ABF0-60A760CE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2A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2A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C5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52AD0"/>
    <w:rPr>
      <w:b/>
      <w:bCs/>
    </w:rPr>
  </w:style>
  <w:style w:type="paragraph" w:styleId="a4">
    <w:name w:val="Normal (Web)"/>
    <w:basedOn w:val="a"/>
    <w:uiPriority w:val="99"/>
    <w:semiHidden/>
    <w:unhideWhenUsed/>
    <w:rsid w:val="00C5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2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535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1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6342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4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56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9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9242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67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56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826</Words>
  <Characters>4710</Characters>
  <Application>Microsoft Office Word</Application>
  <DocSecurity>0</DocSecurity>
  <Lines>39</Lines>
  <Paragraphs>11</Paragraphs>
  <ScaleCrop>false</ScaleCrop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Смирнова</dc:creator>
  <cp:keywords/>
  <dc:description/>
  <cp:lastModifiedBy>Любовь Решетникова</cp:lastModifiedBy>
  <cp:revision>3</cp:revision>
  <dcterms:created xsi:type="dcterms:W3CDTF">2017-10-12T07:36:00Z</dcterms:created>
  <dcterms:modified xsi:type="dcterms:W3CDTF">2017-10-12T07:55:00Z</dcterms:modified>
</cp:coreProperties>
</file>