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680"/>
        <w:spacing w:before="20" w:after="20"/>
        <w:tabs>
          <w:tab w:val="left" w:pos="5844" w:leader="none"/>
        </w:tabs>
        <w:rPr>
          <w:rFonts w:ascii="Helvetica Neue" w:hAnsi="Helvetica Neue" w:eastAsia="Helvetica Neue" w:cs="Helvetica Neue"/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3"/>
          <w:szCs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8404" cy="1738629"/>
                <wp:effectExtent l="0" t="0" r="0" b="0"/>
                <wp:wrapNone/>
                <wp:docPr id="2" name="image1.png" descr="Asset 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sset 1.png"/>
                        <pic:cNvPicPr/>
                        <pic:nvPr/>
                      </pic:nvPicPr>
                      <pic:blipFill>
                        <a:blip r:embed="rId10"/>
                        <a:srcRect l="0" t="-1" r="0" b="24652"/>
                        <a:stretch/>
                      </pic:blipFill>
                      <pic:spPr bwMode="auto">
                        <a:xfrm>
                          <a:off x="0" y="0"/>
                          <a:ext cx="7558404" cy="173862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page;margin-left:0.00pt;mso-position-horizontal:absolute;mso-position-vertical-relative:page;margin-top:0.00pt;mso-position-vertical:absolute;width:595.15pt;height:136.90pt;mso-wrap-distance-left:0.00pt;mso-wrap-distance-top:0.00pt;mso-wrap-distance-right:0.00pt;mso-wrap-distance-bottom:0.00pt;">
                <v:path textboxrect="0,0,0,0"/>
                <v:imagedata r:id="rId10" o:title=""/>
              </v:shape>
            </w:pict>
          </mc:Fallback>
        </mc:AlternateContent>
      </w:r>
      <w:r>
        <w:rPr>
          <w:rFonts w:ascii="Helvetica Neue" w:hAnsi="Helvetica Neue" w:eastAsia="Helvetica Neue" w:cs="Helvetica Neue"/>
          <w:color w:val="000000"/>
          <w:sz w:val="23"/>
          <w:szCs w:val="23"/>
          <w:rtl w:val="0"/>
        </w:rPr>
        <w:tab/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-393699</wp:posOffset>
                </wp:positionV>
                <wp:extent cx="2519680" cy="78994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090923" y="3389793"/>
                          <a:ext cx="251015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-27" w:firstLine="0"/>
                              <w:jc w:val="right"/>
                              <w:spacing w:before="20" w:after="20" w:line="240" w:lineRule="auto"/>
                            </w:pPr>
                            <w:r>
                              <w:rPr>
                                <w:rFonts w:ascii="Helvetica Neue" w:hAnsi="Helvetica Neue" w:eastAsia="Helvetica Neue" w:cs="Helvetica Neue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Справка</w:t>
                            </w:r>
                            <w:r/>
                          </w:p>
                          <w:p>
                            <w:pPr>
                              <w:ind w:left="0" w:right="-27" w:firstLine="0"/>
                              <w:jc w:val="right"/>
                              <w:spacing w:before="20" w:after="20" w:line="240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>
                              <w:rPr>
                                <w:rFonts w:ascii="Helvetica Neue" w:hAnsi="Helvetica Neue" w:eastAsia="Helvetica Neue" w:cs="Helvetica Neue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о Всероссийской акции «Цифровой Диктант»</w:t>
                            </w:r>
                            <w:r/>
                          </w:p>
                          <w:p>
                            <w:pPr>
                              <w:ind w:left="0" w:right="-27" w:firstLine="0"/>
                              <w:jc w:val="right"/>
                              <w:spacing w:before="0" w:after="0" w:line="240" w:lineRule="auto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/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260.00pt;mso-position-horizontal:absolute;mso-position-vertical-relative:text;margin-top:-31.00pt;mso-position-vertical:absolute;width:198.40pt;height:62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ind w:left="0" w:right="-27" w:firstLine="0"/>
                        <w:jc w:val="right"/>
                        <w:spacing w:before="20" w:after="20" w:line="240" w:lineRule="auto"/>
                      </w:pPr>
                      <w:r>
                        <w:rPr>
                          <w:rFonts w:ascii="Helvetica Neue" w:hAnsi="Helvetica Neue" w:eastAsia="Helvetica Neue" w:cs="Helvetica Neue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Справка</w:t>
                      </w:r>
                      <w:r/>
                    </w:p>
                    <w:p>
                      <w:pPr>
                        <w:ind w:left="0" w:right="-27" w:firstLine="0"/>
                        <w:jc w:val="right"/>
                        <w:spacing w:before="20" w:after="20" w:line="240" w:lineRule="auto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>
                        <w:rPr>
                          <w:rFonts w:ascii="Helvetica Neue" w:hAnsi="Helvetica Neue" w:eastAsia="Helvetica Neue" w:cs="Helvetica Neue"/>
                          <w:b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 xml:space="preserve">о Всероссийской акции «Цифровой Диктант»</w:t>
                      </w:r>
                      <w:r/>
                    </w:p>
                    <w:p>
                      <w:pPr>
                        <w:ind w:left="0" w:right="-27" w:firstLine="0"/>
                        <w:jc w:val="right"/>
                        <w:spacing w:before="0" w:after="0" w:line="240" w:lineRule="auto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</w:p>
    <w:p>
      <w:pPr>
        <w:ind w:firstLine="680"/>
        <w:jc w:val="center"/>
        <w:spacing w:before="20" w:after="20"/>
        <w:rPr>
          <w:rFonts w:ascii="Helvetica Neue" w:hAnsi="Helvetica Neue" w:eastAsia="Helvetica Neue" w:cs="Helvetica Neue"/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190590</wp:posOffset>
                </wp:positionV>
                <wp:extent cx="2447925" cy="34157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126800" y="3616170"/>
                          <a:ext cx="2438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right="-98" w:firstLine="0"/>
                              <w:jc w:val="left"/>
                              <w:spacing w:before="0" w:after="0" w:line="240" w:lineRule="auto"/>
                            </w:pPr>
                            <w:r>
                              <w:rPr>
                                <w:rFonts w:ascii="Helvetica Neue" w:hAnsi="Helvetica Neue" w:eastAsia="Helvetica Neue" w:cs="Helvetica Neue"/>
                                <w:b/>
                                <w:i w:val="0"/>
                                <w:smallCaps w:val="0"/>
                                <w:strike w:val="0"/>
                                <w:color w:val="199653"/>
                                <w:sz w:val="28"/>
                                <w:vertAlign w:val="baseline"/>
                              </w:rPr>
                              <w:t xml:space="preserve">10-28 октября </w:t>
                            </w:r>
                            <w:r>
                              <w:rPr>
                                <w:rFonts w:ascii="Helvetica Neue" w:hAnsi="Helvetica Neue" w:eastAsia="Helvetica Neue" w:cs="Helvetica Neue"/>
                                <w:b/>
                                <w:i w:val="0"/>
                                <w:smallCaps w:val="0"/>
                                <w:strike w:val="0"/>
                                <w:color w:val="199653"/>
                                <w:sz w:val="28"/>
                                <w:vertAlign w:val="baseline"/>
                              </w:rPr>
                              <w:t xml:space="preserve">2024</w:t>
                            </w:r>
                            <w:r/>
                          </w:p>
                        </w:txbxContent>
                      </wps:txbx>
                      <wps:bodyPr spcFirstLastPara="1" wrap="square" lIns="50775" tIns="50775" rIns="50775" bIns="507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-5.25pt;mso-position-horizontal:absolute;mso-position-vertical-relative:text;margin-top:15.01pt;mso-position-vertical:absolute;width:192.75pt;height:26.9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ind w:left="0" w:right="-98" w:firstLine="0"/>
                        <w:jc w:val="left"/>
                        <w:spacing w:before="0" w:after="0" w:line="240" w:lineRule="auto"/>
                      </w:pPr>
                      <w:r>
                        <w:rPr>
                          <w:rFonts w:ascii="Helvetica Neue" w:hAnsi="Helvetica Neue" w:eastAsia="Helvetica Neue" w:cs="Helvetica Neue"/>
                          <w:b/>
                          <w:i w:val="0"/>
                          <w:smallCaps w:val="0"/>
                          <w:strike w:val="0"/>
                          <w:color w:val="199653"/>
                          <w:sz w:val="28"/>
                          <w:vertAlign w:val="baseline"/>
                        </w:rPr>
                        <w:t xml:space="preserve">10-28 октября </w:t>
                      </w:r>
                      <w:r>
                        <w:rPr>
                          <w:rFonts w:ascii="Helvetica Neue" w:hAnsi="Helvetica Neue" w:eastAsia="Helvetica Neue" w:cs="Helvetica Neue"/>
                          <w:b/>
                          <w:i w:val="0"/>
                          <w:smallCaps w:val="0"/>
                          <w:strike w:val="0"/>
                          <w:color w:val="199653"/>
                          <w:sz w:val="28"/>
                          <w:vertAlign w:val="baseline"/>
                        </w:rPr>
                        <w:t xml:space="preserve">2024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</w:p>
    <w:p>
      <w:pPr>
        <w:ind w:firstLine="680"/>
        <w:jc w:val="center"/>
        <w:spacing w:before="20" w:after="20"/>
        <w:rPr>
          <w:rFonts w:ascii="Helvetica Neue" w:hAnsi="Helvetica Neue" w:eastAsia="Helvetica Neue" w:cs="Helvetica Neue"/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</w:p>
    <w:p>
      <w:pPr>
        <w:ind w:firstLine="680"/>
        <w:jc w:val="center"/>
        <w:spacing w:before="20" w:after="20"/>
        <w:rPr>
          <w:rFonts w:ascii="Helvetica Neue" w:hAnsi="Helvetica Neue" w:eastAsia="Helvetica Neue" w:cs="Helvetica Neue"/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</w:p>
    <w:p>
      <w:pPr>
        <w:ind w:firstLine="680"/>
        <w:jc w:val="center"/>
        <w:spacing w:before="20" w:after="20"/>
        <w:rPr>
          <w:rFonts w:ascii="Helvetica Neue" w:hAnsi="Helvetica Neue" w:eastAsia="Helvetica Neue" w:cs="Helvetica Neue"/>
          <w:color w:val="000000"/>
          <w:sz w:val="23"/>
          <w:szCs w:val="23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  <w:r>
        <w:rPr>
          <w:rFonts w:ascii="Helvetica Neue" w:hAnsi="Helvetica Neue" w:eastAsia="Helvetica Neue" w:cs="Helvetica Neue"/>
          <w:color w:val="000000"/>
          <w:sz w:val="23"/>
          <w:szCs w:val="23"/>
        </w:rPr>
      </w:r>
    </w:p>
    <w:p>
      <w:pPr>
        <w:rPr>
          <w:rFonts w:ascii="Helvetica Neue" w:hAnsi="Helvetica Neue" w:eastAsia="Helvetica Neue" w:cs="Helvetica Neue"/>
          <w:sz w:val="23"/>
          <w:szCs w:val="23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3"/>
          <w:szCs w:val="23"/>
        </w:rPr>
      </w:r>
      <w:r>
        <w:rPr>
          <w:rFonts w:ascii="Helvetica Neue" w:hAnsi="Helvetica Neue" w:eastAsia="Helvetica Neue" w:cs="Helvetica Neue"/>
          <w:sz w:val="23"/>
          <w:szCs w:val="23"/>
        </w:rPr>
      </w:r>
    </w:p>
    <w:p>
      <w:pPr>
        <w:ind w:firstLine="680"/>
        <w:jc w:val="both"/>
        <w:spacing w:before="24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/>
          <w:color w:val="199653"/>
          <w:sz w:val="22"/>
          <w:szCs w:val="22"/>
          <w:rtl w:val="0"/>
        </w:rPr>
        <w:t xml:space="preserve">«Цифровой Диктант»</w:t>
      </w:r>
      <w:r>
        <w:rPr>
          <w:rFonts w:ascii="Helvetica Neue" w:hAnsi="Helvetica Neue" w:eastAsia="Helvetica Neue" w:cs="Helvetica Neue"/>
          <w:color w:val="199653"/>
          <w:sz w:val="22"/>
          <w:szCs w:val="22"/>
          <w:rtl w:val="0"/>
        </w:rPr>
        <w:t xml:space="preserve"> 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— это ежегодная Всероссийская акция по определению уровня цифровой грамотности, которая с 2019 года проходит на одноименной платформе </w:t>
      </w:r>
      <w:hyperlink r:id="rId11" w:tooltip="https://digitaldictation.ru/" w:history="1">
        <w:r>
          <w:rPr>
            <w:rFonts w:ascii="Helvetica Neue" w:hAnsi="Helvetica Neue" w:eastAsia="Helvetica Neue" w:cs="Helvetica Neue"/>
            <w:b/>
            <w:color w:val="199653"/>
            <w:sz w:val="22"/>
            <w:szCs w:val="22"/>
            <w:rtl w:val="0"/>
          </w:rPr>
          <w:t xml:space="preserve">ЦифровойДиктант.рф</w:t>
        </w:r>
      </w:hyperlink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. Акция признана самой масштабной в России проверкой знаний в области цифровой грамотности.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ind w:firstLine="68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В 2024 году акция «Цифровой Диктант» пройдет </w:t>
      </w:r>
      <w:r>
        <w:rPr>
          <w:rFonts w:ascii="Helvetica Neue" w:hAnsi="Helvetica Neue" w:eastAsia="Helvetica Neue" w:cs="Helvetica Neue"/>
          <w:b/>
          <w:color w:val="199653"/>
          <w:sz w:val="22"/>
          <w:szCs w:val="22"/>
          <w:rtl w:val="0"/>
        </w:rPr>
        <w:t xml:space="preserve">в период с 10 по 28 октября на всей территории России</w:t>
      </w:r>
      <w:r>
        <w:rPr>
          <w:rFonts w:ascii="Helvetica Neue" w:hAnsi="Helvetica Neue" w:eastAsia="Helvetica Neue" w:cs="Helvetica Neue"/>
          <w:color w:val="199653"/>
          <w:sz w:val="22"/>
          <w:szCs w:val="22"/>
          <w:rtl w:val="0"/>
        </w:rPr>
        <w:t xml:space="preserve"> </w:t>
      </w: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в онлайн и офлайн-формате. 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68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Участники Цифрового Диктанта </w:t>
      </w:r>
      <w:r>
        <w:rPr>
          <w:rFonts w:ascii="Helvetica Neue" w:hAnsi="Helvetica Neue" w:eastAsia="Helvetica Neue" w:cs="Helvetica Neue"/>
          <w:b/>
          <w:color w:val="199653"/>
          <w:sz w:val="22"/>
          <w:szCs w:val="22"/>
          <w:rtl w:val="0"/>
        </w:rPr>
        <w:t xml:space="preserve">смогут узнать свой уровень цифровых компетенций, а также познакомиться с ИТ-сервисами и продуктами доступными в их регионах</w:t>
      </w: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. 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68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В дни проведения акции запланированы</w:t>
      </w: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 мероприятия, направленные на повышение уровня цифровой грамотности: круглые столы, образовательные лекции и мастер-классы, а также у участников будет возможность пройти тестирование на специально оборудованных офлайн-площадках в различных городах России. 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68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На основе результатов тестирования будет определен </w:t>
      </w:r>
      <w:r>
        <w:rPr>
          <w:rFonts w:ascii="Helvetica Neue" w:hAnsi="Helvetica Neue" w:eastAsia="Helvetica Neue" w:cs="Helvetica Neue"/>
          <w:b/>
          <w:color w:val="199653"/>
          <w:sz w:val="22"/>
          <w:szCs w:val="22"/>
          <w:rtl w:val="0"/>
        </w:rPr>
        <w:t xml:space="preserve">Индекс цифровой грамотности населения России</w:t>
      </w:r>
      <w:r>
        <w:rPr>
          <w:rFonts w:ascii="Helvetica Neue" w:hAnsi="Helvetica Neue" w:eastAsia="Helvetica Neue" w:cs="Helvetica Neue"/>
          <w:color w:val="199653"/>
          <w:sz w:val="22"/>
          <w:szCs w:val="22"/>
          <w:rtl w:val="0"/>
        </w:rPr>
        <w:t xml:space="preserve">.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left="0" w:right="0" w:firstLine="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4"/>
          <w:szCs w:val="24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Организатор акции: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РАЭК.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Соорганизаторы: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РОЦИТ, Народный Фронт.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</w:r>
      <w:r>
        <w:rPr>
          <w:rFonts w:ascii="Helvetica Neue" w:hAnsi="Helvetica Neue" w:eastAsia="Helvetica Neue" w:cs="Helvetica Neue"/>
          <w:sz w:val="24"/>
          <w:szCs w:val="24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В 2024 году Всероссийское тестирование пройдет при поддержке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Минцифры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России и Департамента информационных технологий Москвы.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Генеральный партнер акции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Авито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.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Партнерами и спонсорами проекта в 2024 году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выступают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VK, Яндекс Go,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билайн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Координационный центр доменов .RU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/ .РФ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М.Видео.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Аналитический партнер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– АНО «Цифровая экономика». 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Организационными партнерами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являются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Кибердом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Альянс по защите детей в цифровой среде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Цифровая Россия,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Роскачество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Российская государственная библиотека для молодежи (РГБМ).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Акция проводится в поддержку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национального проекта «Цифровая экономика».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Технологический партнер проекта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 Yandex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Cloud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е-mail-партнер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Unisender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ц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ифровой партнер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Mish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,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графический партнер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</w:t>
      </w:r>
      <w:r/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Мандарин,  </w:t>
      </w: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чат-бот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– AO «Нейросети».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  <w14:ligatures w14:val="none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Стратегическим информационным партнером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является Rambler &amp; Co.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Генеральными информационными партнерами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являются RUTUBE,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РБК, «Российская Газета», «Аргументы и факты», «Комсомольская правда»,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Всероссийское сообщество детей и молодежи «Движение Первых»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</w:r>
    </w:p>
    <w:p>
      <w:pPr>
        <w:ind w:firstLine="709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b/>
          <w:bCs/>
          <w:sz w:val="22"/>
          <w:szCs w:val="22"/>
        </w:rPr>
        <w:t xml:space="preserve">Информационно акцию поддерживают: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ТОП Блог, Триколор, АНО «Диалог», Вести Подмосковья, Small Business, «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Хелпинвер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», «Мел», 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SuperJob</w:t>
      </w:r>
      <w:r>
        <w:rPr>
          <w:rFonts w:ascii="Helvetica Neue" w:hAnsi="Helvetica Neue" w:eastAsia="Helvetica Neue" w:cs="Helvetica Neue"/>
          <w:b w:val="0"/>
          <w:bCs w:val="0"/>
          <w:sz w:val="22"/>
          <w:szCs w:val="22"/>
        </w:rPr>
        <w:t xml:space="preserve"> и другие.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ind w:left="709" w:right="0" w:firstLine="0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Helvetica Neue" w:hAnsi="Helvetica Neue" w:eastAsia="Helvetica Neue" w:cs="Helvetica Neue"/>
          <w:sz w:val="22"/>
          <w:szCs w:val="22"/>
          <w:highlight w:val="none"/>
          <w14:ligatures w14:val="none"/>
        </w:rPr>
      </w:r>
      <w:r>
        <w:rPr>
          <w:rFonts w:ascii="Helvetica Neue" w:hAnsi="Helvetica Neue" w:eastAsia="Helvetica Neue" w:cs="Helvetica Neue"/>
          <w:sz w:val="22"/>
          <w:szCs w:val="22"/>
          <w:highlight w:val="none"/>
          <w14:ligatures w14:val="none"/>
        </w:rPr>
      </w:r>
      <w:r>
        <w:rPr>
          <w:rFonts w:ascii="Helvetica Neue" w:hAnsi="Helvetica Neue" w:eastAsia="Helvetica Neue" w:cs="Helvetica Neue"/>
          <w:sz w:val="22"/>
          <w:szCs w:val="22"/>
          <w14:ligatures w14:val="none"/>
        </w:rPr>
      </w:r>
    </w:p>
    <w:p>
      <w:pPr>
        <w:ind w:firstLine="567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680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 xml:space="preserve">Цель акции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ind w:firstLine="680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Обеспечить возможность измерения персонального уровня цифровой грамотности и ее аспектов: цифрового потребления, цифровых компетенций и цифровой безопасности. Также в 2024 году </w:t>
      </w: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будет добавлен новый блок вопросов о финансовой киберграмотности. 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Диктант позволяет разным возрастным группам узнать о новых технологиях и ближе познакомиться с цифровыми сервисами и продуктами, в том числе отечествен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ного производства. Итогом «Цифрового Диктанта» станет индекс цифровой грамотности населения России. Проект также помогает участникам сформировать личную траекторию повышения цифровой грамотности с помощью работы над ошибками и просветительских материалов.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rPr>
          <w:rFonts w:ascii="Helvetica Neue" w:hAnsi="Helvetica Neue" w:eastAsia="Helvetica Neue" w:cs="Helvetica Neue"/>
          <w:sz w:val="22"/>
          <w:szCs w:val="22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680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/>
          <w:color w:val="000000"/>
          <w:sz w:val="22"/>
          <w:szCs w:val="22"/>
          <w:highlight w:val="none"/>
          <w:rtl w:val="0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ind w:firstLine="680"/>
        <w:jc w:val="both"/>
        <w:spacing w:before="20" w:after="20"/>
        <w:rPr>
          <w:rFonts w:ascii="Helvetica Neue" w:hAnsi="Helvetica Neue" w:eastAsia="Helvetica Neue" w:cs="Helvetica Neue"/>
          <w:b/>
          <w:bCs/>
          <w:color w:val="000000"/>
          <w:sz w:val="22"/>
          <w:szCs w:val="22"/>
          <w:highlight w:val="no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 xml:space="preserve">Целевая аудитория</w:t>
      </w:r>
      <w:r>
        <w:rPr>
          <w:rFonts w:ascii="Helvetica Neue" w:hAnsi="Helvetica Neue" w:eastAsia="Helvetica Neue" w:cs="Helvetica Neue"/>
          <w:b/>
          <w:bCs/>
          <w:color w:val="000000"/>
          <w:sz w:val="22"/>
          <w:szCs w:val="22"/>
          <w:highlight w:val="none"/>
        </w:rPr>
      </w:r>
      <w:r>
        <w:rPr>
          <w:rFonts w:ascii="Helvetica Neue" w:hAnsi="Helvetica Neue" w:eastAsia="Helvetica Neue" w:cs="Helvetica Neue"/>
          <w:b/>
          <w:bCs/>
          <w:color w:val="000000"/>
          <w:sz w:val="22"/>
          <w:szCs w:val="22"/>
          <w:highlight w:val="none"/>
        </w:rPr>
      </w:r>
    </w:p>
    <w:p>
      <w:pPr>
        <w:ind w:firstLine="680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Диктант универсален и создан с учетом особенностей разных возрастных групп, среди которых:</w:t>
      </w: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ab/>
        <w:tab/>
        <w:tab/>
        <w:tab/>
        <w:tab/>
        <w:tab/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2"/>
        </w:numPr>
        <w:ind w:left="643" w:hanging="360"/>
        <w:jc w:val="both"/>
        <w:shd w:val="clear" w:color="auto" w:fill="ffffff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дети 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(</w:t>
      </w:r>
      <w:r>
        <w:rPr>
          <w:rFonts w:ascii="Helvetica Neue" w:hAnsi="Helvetica Neue" w:eastAsia="Helvetica Neue" w:cs="Helvetica Neue"/>
          <w:i/>
          <w:sz w:val="22"/>
          <w:szCs w:val="22"/>
          <w:rtl w:val="0"/>
        </w:rPr>
        <w:t xml:space="preserve">10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-13 лет);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2"/>
        </w:numPr>
        <w:ind w:left="643" w:hanging="360"/>
        <w:jc w:val="both"/>
        <w:shd w:val="clear" w:color="auto" w:fill="ffffff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подростки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 (14-17 лет);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2"/>
        </w:numPr>
        <w:ind w:left="643" w:hanging="360"/>
        <w:jc w:val="both"/>
        <w:shd w:val="clear" w:color="auto" w:fill="ffffff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взрослые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 (18-59 лет);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2"/>
        </w:numPr>
        <w:ind w:left="643" w:hanging="360"/>
        <w:jc w:val="both"/>
        <w:shd w:val="clear" w:color="auto" w:fill="ffffff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люди старшего возраста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 (60 лет и старше).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ind w:left="142" w:firstLine="567"/>
        <w:jc w:val="both"/>
        <w:shd w:val="clear" w:color="auto" w:fill="ffffff"/>
        <w:rPr>
          <w:rFonts w:ascii="Helvetica Neue" w:hAnsi="Helvetica Neue" w:eastAsia="Helvetica Neue" w:cs="Helvetica Neue"/>
          <w:b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b/>
          <w:sz w:val="22"/>
          <w:szCs w:val="22"/>
        </w:rPr>
      </w:r>
      <w:r>
        <w:rPr>
          <w:rFonts w:ascii="Helvetica Neue" w:hAnsi="Helvetica Neue" w:eastAsia="Helvetica Neue" w:cs="Helvetica Neue"/>
          <w:b/>
          <w:sz w:val="22"/>
          <w:szCs w:val="22"/>
        </w:rPr>
      </w:r>
    </w:p>
    <w:p>
      <w:pPr>
        <w:ind w:left="142" w:firstLine="567"/>
        <w:jc w:val="both"/>
        <w:shd w:val="clear" w:color="auto" w:fill="ffffff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 xml:space="preserve">Результаты Всероссийской акции «Цифровой Диктант» в 2023 году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3"/>
        </w:numPr>
        <w:ind w:left="0" w:firstLine="283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На момент закрытия акции </w:t>
      </w: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 xml:space="preserve">1 872 599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 </w:t>
      </w:r>
      <w:r>
        <w:rPr>
          <w:rFonts w:ascii="Helvetica Neue" w:hAnsi="Helvetica Neue" w:eastAsia="Helvetica Neue" w:cs="Helvetica Neue"/>
          <w:sz w:val="22"/>
          <w:szCs w:val="22"/>
          <w:rtl w:val="0"/>
        </w:rPr>
        <w:t xml:space="preserve">человек 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приняли участие во всероссийском тестировании, из них </w:t>
      </w:r>
      <w:r>
        <w:rPr>
          <w:rFonts w:ascii="Helvetica Neue" w:hAnsi="Helvetica Neue" w:eastAsia="Helvetica Neue" w:cs="Helvetica Neue"/>
          <w:b/>
          <w:color w:val="000000"/>
          <w:sz w:val="22"/>
          <w:szCs w:val="22"/>
          <w:rtl w:val="0"/>
        </w:rPr>
        <w:t xml:space="preserve">1 385 643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 прошли Цифровой Диктант и получили сертификат цифровой грамотности, что в 1,5 раза больше, чем в прошлом сезоне.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3"/>
        </w:numPr>
        <w:ind w:left="0" w:firstLine="283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Среднее значение уровня цифровой грамотности — 6,43 балла из 10.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3"/>
        </w:numPr>
        <w:ind w:left="0" w:firstLine="283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Медиакампанией акции охвачено более 115 млн пользователей, выпущено более 7 тыс. публикаций в СМИ.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3"/>
        </w:numPr>
        <w:ind w:left="0" w:firstLine="283"/>
        <w:jc w:val="both"/>
        <w:spacing w:before="20"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Распределение участников «Цифрового Диктанта 2023» по возрастным категориям: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4"/>
        </w:numPr>
        <w:ind w:left="785" w:hanging="360"/>
        <w:jc w:val="both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Дети (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10-13 лет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) — 19%.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4"/>
        </w:numPr>
        <w:ind w:left="785" w:hanging="360"/>
        <w:jc w:val="both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Подростки (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14-17 лет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) — 36%. 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4"/>
        </w:numPr>
        <w:ind w:left="785" w:hanging="360"/>
        <w:jc w:val="both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Взрослые (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18-59 лет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) — 43%.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0"/>
          <w:numId w:val="4"/>
        </w:numPr>
        <w:ind w:left="785" w:hanging="360"/>
        <w:jc w:val="both"/>
        <w:spacing w:after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Люди старшего возраста (</w:t>
      </w:r>
      <w:r>
        <w:rPr>
          <w:rFonts w:ascii="Helvetica Neue" w:hAnsi="Helvetica Neue" w:eastAsia="Helvetica Neue" w:cs="Helvetica Neue"/>
          <w:i/>
          <w:color w:val="000000"/>
          <w:sz w:val="22"/>
          <w:szCs w:val="22"/>
          <w:rtl w:val="0"/>
        </w:rPr>
        <w:t xml:space="preserve">60 лет и старше</w:t>
      </w: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) — 2%.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rPr>
          <w:rFonts w:ascii="Helvetica Neue" w:hAnsi="Helvetica Neue" w:eastAsia="Helvetica Neue" w:cs="Helvetica Neue"/>
          <w:sz w:val="22"/>
          <w:szCs w:val="22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numPr>
          <w:ilvl w:val="0"/>
          <w:numId w:val="1"/>
        </w:numPr>
        <w:ind w:left="0" w:firstLine="284"/>
        <w:jc w:val="both"/>
        <w:spacing w:before="20"/>
        <w:rPr>
          <w:rFonts w:ascii="Helvetica Neue" w:hAnsi="Helvetica Neue" w:eastAsia="Helvetica Neue" w:cs="Helvetica Neue"/>
          <w:color w:val="000000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color w:val="000000"/>
          <w:sz w:val="22"/>
          <w:szCs w:val="22"/>
          <w:rtl w:val="0"/>
        </w:rPr>
        <w:t xml:space="preserve">Среднее значение уровня цифровой грамотности участников по федеральным округам (по 10-балльной шкале):</w:t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  <w:r>
        <w:rPr>
          <w:rFonts w:ascii="Helvetica Neue" w:hAnsi="Helvetica Neue" w:eastAsia="Helvetica Neue" w:cs="Helvetica Neue"/>
          <w:color w:val="000000"/>
          <w:sz w:val="22"/>
          <w:szCs w:val="22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Северо-Западный ФО — 6,73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Уральский ФО — 6,65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Южный ФО — 6,56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Приволжский ФО — 6,45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Сибирский ФО — 6,38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Центральный ФО — 6,36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Дальневосточный ФО — 6,28 балла;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numPr>
          <w:ilvl w:val="1"/>
          <w:numId w:val="4"/>
        </w:numPr>
        <w:ind w:left="1440" w:right="0" w:hanging="36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Северо-Кавказский ФО — 6,09 балла.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Жители новых территорий также показали отличный результат по среднему значению уровня цифровой грамотности, набрав 6,44 балла из 10 возможных.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rPr>
          <w:rFonts w:ascii="Helvetica Neue" w:hAnsi="Helvetica Neue" w:eastAsia="Helvetica Neue" w:cs="Helvetica Neue"/>
          <w:sz w:val="22"/>
          <w:szCs w:val="22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numPr>
          <w:ilvl w:val="0"/>
          <w:numId w:val="5"/>
        </w:numPr>
        <w:ind w:left="0" w:right="0" w:firstLine="284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Регионы-лидеры по уровню цифровой грамотности населения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(по убыванию): Республика Карелия, Астраханская область, Архангельская область, Воронежская область, Пензенская область, Чувашская Республика – Чувашия, Смоленская область, Ханты-Мансийский автономный округ – Югра, Ярославская область, Ивановская область.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shd w:val="clear" w:color="auto" w:fill="auto"/>
          <w:vertAlign w:val="baseline"/>
        </w:rPr>
      </w:r>
    </w:p>
    <w:p>
      <w:pPr>
        <w:ind w:left="284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709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В 2023 году </w:t>
      </w:r>
      <w:r>
        <w:rPr>
          <w:rFonts w:ascii="Helvetica Neue" w:hAnsi="Helvetica Neue" w:eastAsia="Helvetica Neue" w:cs="Helvetica Neue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впервые был определен индекс цифровой грамотности москвичей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— 7,34 балла из 10 возможных. А также Москва заняла первое место среди регионов России по среднему значению уровня цифровых компетенций — 7,28.</w:t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Helvetica Neue" w:hAnsi="Helvetica Neue" w:eastAsia="Helvetica Neue" w:cs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Helvetica Neue" w:hAnsi="Helvetica Neue" w:eastAsia="Helvetica Neue" w:cs="Helvetica Neue"/>
          <w:sz w:val="22"/>
          <w:szCs w:val="22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ind w:firstLine="708"/>
        <w:jc w:val="both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Helvetica Neue" w:hAnsi="Helvetica Neue" w:eastAsia="Helvetica Neue" w:cs="Helvetica Neue"/>
          <w:sz w:val="22"/>
          <w:szCs w:val="22"/>
        </w:rPr>
      </w:pPr>
      <w:r>
        <w:rPr>
          <w:rFonts w:ascii="Helvetica Neue" w:hAnsi="Helvetica Neue" w:eastAsia="Helvetica Neue" w:cs="Helvetica Neue"/>
          <w:b/>
          <w:sz w:val="22"/>
          <w:szCs w:val="22"/>
          <w:rtl w:val="0"/>
        </w:rPr>
        <w:t xml:space="preserve">С подробными итогами Цифрового Диктанта 2023 можно ознакомиться по </w:t>
      </w:r>
      <w:hyperlink r:id="rId12" w:tooltip="https://digitaldictation.ru/site/2023-results" w:history="1">
        <w:r>
          <w:rPr>
            <w:rFonts w:ascii="Helvetica Neue" w:hAnsi="Helvetica Neue" w:eastAsia="Helvetica Neue" w:cs="Helvetica Neue"/>
            <w:b/>
            <w:color w:val="1155cc"/>
            <w:sz w:val="22"/>
            <w:szCs w:val="22"/>
            <w:u w:val="single"/>
            <w:rtl w:val="0"/>
          </w:rPr>
          <w:t xml:space="preserve">ссылке</w:t>
        </w:r>
      </w:hyperlink>
      <w:r>
        <w:rPr>
          <w:rFonts w:ascii="Helvetica Neue" w:hAnsi="Helvetica Neue" w:eastAsia="Helvetica Neue" w:cs="Helvetica Neue"/>
          <w:b/>
          <w:sz w:val="22"/>
          <w:szCs w:val="22"/>
          <w:rtl w:val="0"/>
        </w:rPr>
        <w:t xml:space="preserve">.</w:t>
      </w:r>
      <w:r>
        <w:rPr>
          <w:rFonts w:ascii="Helvetica Neue" w:hAnsi="Helvetica Neue" w:eastAsia="Helvetica Neue" w:cs="Helvetica Neue"/>
          <w:b/>
          <w:sz w:val="22"/>
          <w:szCs w:val="22"/>
          <w:rtl w:val="0"/>
        </w:rPr>
        <w:t xml:space="preserve"> </w:t>
      </w:r>
      <w:r>
        <w:rPr>
          <w:rFonts w:ascii="Helvetica Neue" w:hAnsi="Helvetica Neue" w:eastAsia="Helvetica Neue" w:cs="Helvetica Neue"/>
          <w:sz w:val="22"/>
          <w:szCs w:val="22"/>
        </w:rPr>
      </w:r>
      <w:r>
        <w:rPr>
          <w:rFonts w:ascii="Helvetica Neue" w:hAnsi="Helvetica Neue" w:eastAsia="Helvetica Neue" w:cs="Helvetica Neue"/>
          <w:sz w:val="22"/>
          <w:szCs w:val="22"/>
        </w:rPr>
      </w:r>
    </w:p>
    <w:p>
      <w:pPr>
        <w:rPr>
          <w:rFonts w:ascii="Helvetica Neue" w:hAnsi="Helvetica Neue" w:eastAsia="Helvetica Neue" w:cs="Helvetica Neue"/>
          <w:sz w:val="23"/>
          <w:szCs w:val="23"/>
        </w:rPr>
      </w:pPr>
      <w:r>
        <w:rPr>
          <w:rtl w:val="0"/>
        </w:rPr>
      </w:r>
      <w:r>
        <w:rPr>
          <w:rFonts w:ascii="Helvetica Neue" w:hAnsi="Helvetica Neue" w:eastAsia="Helvetica Neue" w:cs="Helvetica Neue"/>
          <w:sz w:val="23"/>
          <w:szCs w:val="23"/>
        </w:rPr>
      </w:r>
      <w:r>
        <w:rPr>
          <w:rFonts w:ascii="Helvetica Neue" w:hAnsi="Helvetica Neue" w:eastAsia="Helvetica Neue" w:cs="Helvetica Neue"/>
          <w:sz w:val="23"/>
          <w:szCs w:val="23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4" w:bottom="1701" w:left="1701" w:header="709" w:footer="85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Helvetica Neue"/>
  <w:font w:name="Courier New">
    <w:panose1 w:val="02070409020205020404"/>
  </w:font>
  <w:font w:name="Noto Sans Symbols"/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hanging="567"/>
      <w:tabs>
        <w:tab w:val="left" w:pos="6348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  <w:rtl w:val="0"/>
      </w:rPr>
      <w:tab/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-183134</wp:posOffset>
              </wp:positionV>
              <wp:extent cx="2524125" cy="59271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524125" cy="5927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1.50pt;mso-position-horizontal:absolute;mso-position-vertical-relative:text;margin-top:-14.42pt;mso-position-vertical:absolute;width:198.75pt;height:46.67pt;mso-wrap-distance-left:9.00pt;mso-wrap-distance-top:9.00pt;mso-wrap-distance-right:9.00pt;mso-wrap-distance-bottom:9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57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01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73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17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89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331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link w:val="867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link w:val="868"/>
    <w:uiPriority w:val="9"/>
    <w:rPr>
      <w:rFonts w:ascii="Arial" w:hAnsi="Arial" w:eastAsia="Arial" w:cs="Arial"/>
      <w:sz w:val="34"/>
    </w:rPr>
  </w:style>
  <w:style w:type="character" w:styleId="696">
    <w:name w:val="Heading 3 Char"/>
    <w:link w:val="869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link w:val="870"/>
    <w:uiPriority w:val="9"/>
    <w:rPr>
      <w:rFonts w:ascii="Arial" w:hAnsi="Arial" w:eastAsia="Arial" w:cs="Arial"/>
      <w:b/>
      <w:bCs/>
      <w:sz w:val="26"/>
      <w:szCs w:val="26"/>
    </w:rPr>
  </w:style>
  <w:style w:type="character" w:styleId="698">
    <w:name w:val="Heading 5 Char"/>
    <w:link w:val="871"/>
    <w:uiPriority w:val="9"/>
    <w:rPr>
      <w:rFonts w:ascii="Arial" w:hAnsi="Arial" w:eastAsia="Arial" w:cs="Arial"/>
      <w:b/>
      <w:bCs/>
      <w:sz w:val="24"/>
      <w:szCs w:val="24"/>
    </w:rPr>
  </w:style>
  <w:style w:type="character" w:styleId="699">
    <w:name w:val="Heading 6 Char"/>
    <w:link w:val="872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5"/>
    <w:uiPriority w:val="34"/>
    <w:qFormat/>
    <w:pPr>
      <w:contextualSpacing/>
      <w:ind w:left="720"/>
    </w:pPr>
  </w:style>
  <w:style w:type="table" w:styleId="70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08">
    <w:name w:val="No Spacing"/>
    <w:uiPriority w:val="1"/>
    <w:qFormat/>
    <w:pPr>
      <w:spacing w:before="0" w:after="0" w:line="240" w:lineRule="auto"/>
    </w:pPr>
  </w:style>
  <w:style w:type="character" w:styleId="709">
    <w:name w:val="Title Char"/>
    <w:link w:val="873"/>
    <w:uiPriority w:val="10"/>
    <w:rPr>
      <w:sz w:val="48"/>
      <w:szCs w:val="48"/>
    </w:rPr>
  </w:style>
  <w:style w:type="character" w:styleId="710">
    <w:name w:val="Subtitle Char"/>
    <w:link w:val="874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basedOn w:val="719"/>
    <w:link w:val="717"/>
    <w:uiPriority w:val="99"/>
  </w:style>
  <w:style w:type="table" w:styleId="721">
    <w:name w:val="Table Grid"/>
    <w:basedOn w:val="7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</w:style>
  <w:style w:type="table" w:styleId="866" w:default="1">
    <w:name w:val="Table Normal"/>
    <w:tblPr/>
  </w:style>
  <w:style w:type="paragraph" w:styleId="867">
    <w:name w:val="Heading 1"/>
    <w:basedOn w:val="865"/>
    <w:next w:val="865"/>
    <w:pPr>
      <w:keepLines/>
      <w:keepNext/>
      <w:spacing w:before="480" w:after="120"/>
    </w:pPr>
    <w:rPr>
      <w:b/>
      <w:sz w:val="48"/>
      <w:szCs w:val="48"/>
    </w:rPr>
  </w:style>
  <w:style w:type="paragraph" w:styleId="868">
    <w:name w:val="Heading 2"/>
    <w:basedOn w:val="865"/>
    <w:next w:val="865"/>
    <w:pPr>
      <w:keepLines/>
      <w:keepNext/>
      <w:spacing w:before="360" w:after="80"/>
    </w:pPr>
    <w:rPr>
      <w:b/>
      <w:sz w:val="36"/>
      <w:szCs w:val="36"/>
    </w:rPr>
  </w:style>
  <w:style w:type="paragraph" w:styleId="869">
    <w:name w:val="Heading 3"/>
    <w:basedOn w:val="865"/>
    <w:next w:val="865"/>
    <w:pPr>
      <w:keepLines/>
      <w:keepNext/>
      <w:spacing w:before="280" w:after="80"/>
    </w:pPr>
    <w:rPr>
      <w:b/>
      <w:sz w:val="28"/>
      <w:szCs w:val="28"/>
    </w:rPr>
  </w:style>
  <w:style w:type="paragraph" w:styleId="870">
    <w:name w:val="Heading 4"/>
    <w:basedOn w:val="865"/>
    <w:next w:val="865"/>
    <w:pPr>
      <w:keepLines/>
      <w:keepNext/>
      <w:spacing w:before="240" w:after="40"/>
    </w:pPr>
    <w:rPr>
      <w:b/>
    </w:rPr>
  </w:style>
  <w:style w:type="paragraph" w:styleId="871">
    <w:name w:val="Heading 5"/>
    <w:basedOn w:val="865"/>
    <w:next w:val="865"/>
    <w:pPr>
      <w:keepLines/>
      <w:keepNext/>
      <w:spacing w:before="220" w:after="40"/>
    </w:pPr>
    <w:rPr>
      <w:b/>
      <w:sz w:val="22"/>
      <w:szCs w:val="22"/>
    </w:rPr>
  </w:style>
  <w:style w:type="paragraph" w:styleId="872">
    <w:name w:val="Heading 6"/>
    <w:basedOn w:val="865"/>
    <w:next w:val="865"/>
    <w:pPr>
      <w:keepLines/>
      <w:keepNext/>
      <w:spacing w:before="200" w:after="40"/>
    </w:pPr>
    <w:rPr>
      <w:b/>
      <w:sz w:val="20"/>
      <w:szCs w:val="20"/>
    </w:rPr>
  </w:style>
  <w:style w:type="paragraph" w:styleId="873">
    <w:name w:val="Title"/>
    <w:basedOn w:val="865"/>
    <w:next w:val="865"/>
    <w:pPr>
      <w:keepLines/>
      <w:keepNext/>
      <w:spacing w:before="480" w:after="120"/>
    </w:pPr>
    <w:rPr>
      <w:b/>
      <w:sz w:val="72"/>
      <w:szCs w:val="72"/>
    </w:rPr>
  </w:style>
  <w:style w:type="paragraph" w:styleId="874">
    <w:name w:val="Subtitle"/>
    <w:basedOn w:val="865"/>
    <w:next w:val="865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2.png"/><Relationship Id="rId11" Type="http://schemas.openxmlformats.org/officeDocument/2006/relationships/hyperlink" Target="https://digitaldictation.ru/" TargetMode="External"/><Relationship Id="rId12" Type="http://schemas.openxmlformats.org/officeDocument/2006/relationships/hyperlink" Target="https://digitaldictation.ru/site/2023-result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Васильева</cp:lastModifiedBy>
  <cp:revision>8</cp:revision>
  <dcterms:modified xsi:type="dcterms:W3CDTF">2024-10-03T16:23:17Z</dcterms:modified>
</cp:coreProperties>
</file>