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4AADA" w14:textId="1641E438" w:rsidR="00A77538" w:rsidRPr="005E2178" w:rsidRDefault="00A77538" w:rsidP="00A775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178">
        <w:rPr>
          <w:rFonts w:ascii="Times New Roman" w:hAnsi="Times New Roman" w:cs="Times New Roman"/>
          <w:b/>
          <w:bCs/>
          <w:sz w:val="28"/>
          <w:szCs w:val="28"/>
        </w:rPr>
        <w:t>Познава</w:t>
      </w:r>
      <w:r>
        <w:rPr>
          <w:rFonts w:ascii="Times New Roman" w:hAnsi="Times New Roman" w:cs="Times New Roman"/>
          <w:b/>
          <w:bCs/>
          <w:sz w:val="28"/>
          <w:szCs w:val="28"/>
        </w:rPr>
        <w:t>тельное</w:t>
      </w:r>
      <w:r w:rsidRPr="005E21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E2178">
        <w:rPr>
          <w:rFonts w:ascii="Times New Roman" w:hAnsi="Times New Roman" w:cs="Times New Roman"/>
          <w:b/>
          <w:bCs/>
          <w:sz w:val="28"/>
          <w:szCs w:val="28"/>
        </w:rPr>
        <w:t>утешествие по традициям и песням «Казачья вольница»</w:t>
      </w:r>
    </w:p>
    <w:p w14:paraId="1DDE5663" w14:textId="5C8939C7" w:rsidR="00A77538" w:rsidRDefault="00A77538" w:rsidP="00A77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песни создавались казаками на территории Казачьих войск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 казачьей традиции-мужское многоголосье. Женские голоса, как и в казачьей жизни, - на вторых ролях. Украшают вокалами суровые былины, баллады, исторические и лирические песни, распетые по казачьи.</w:t>
      </w:r>
    </w:p>
    <w:p w14:paraId="19DD29F4" w14:textId="77777777" w:rsidR="00020F58" w:rsidRDefault="00020F58"/>
    <w:sectPr w:rsidR="0002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38"/>
    <w:rsid w:val="00020F58"/>
    <w:rsid w:val="00A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56CA"/>
  <w15:chartTrackingRefBased/>
  <w15:docId w15:val="{EC864714-C822-4F46-B98D-D96B5968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2020-09-28T07:44:00Z</dcterms:created>
  <dcterms:modified xsi:type="dcterms:W3CDTF">2020-09-28T07:46:00Z</dcterms:modified>
</cp:coreProperties>
</file>