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hAnsi="Arial" w:cs="Arial"/>
          <w:b/>
          <w:bCs/>
          <w:color w:val="666699"/>
          <w:shd w:val="clear" w:color="auto" w:fill="FFFFFF"/>
        </w:rPr>
      </w:pPr>
      <w:r>
        <w:rPr>
          <w:rFonts w:ascii="Arial" w:hAnsi="Arial" w:cs="Arial"/>
          <w:b/>
          <w:bCs/>
          <w:color w:val="666699"/>
          <w:shd w:val="clear" w:color="auto" w:fill="FFFFFF"/>
        </w:rPr>
        <w:br/>
        <w:t>Федеральный закон от 29.12.2012 N 273-ФЗ (ред. от 02.12.2019) "Об образовании в Российской Федерации"</w:t>
      </w:r>
    </w:p>
    <w:p w:rsid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Статья 56. Целевое обучение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Гражданин, поступающий на </w:t>
      </w:r>
      <w:proofErr w:type="gramStart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обучение по</w:t>
      </w:r>
      <w:proofErr w:type="gramEnd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договор о целевом обучении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- заказчик целевого обучения).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dst159"/>
      <w:bookmarkEnd w:id="0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Существенными условиями договора о целевом обучении являются: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160"/>
      <w:bookmarkEnd w:id="1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обязательства заказчика целевого обучения: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161"/>
      <w:bookmarkEnd w:id="2"/>
      <w:proofErr w:type="gramStart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дополнительных платных образовательных услуг, оказываемых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обучения, и (или) других мер;</w:t>
      </w:r>
      <w:proofErr w:type="gramEnd"/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162"/>
      <w:bookmarkEnd w:id="3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по трудоустройству гражданина, заключившего договор о целевом обучении, не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квалификацией;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163"/>
      <w:bookmarkEnd w:id="4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обязательства гражданина, заключившего договор о целевом обучении: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64"/>
      <w:bookmarkEnd w:id="5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а) по освоению образовательной программы, указанной в договоре о целевом обучении (с возможностью изменения образовательной программы и (или) формы </w:t>
      </w:r>
      <w:proofErr w:type="gramStart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обучения по согласованию</w:t>
      </w:r>
      <w:proofErr w:type="gramEnd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заказчиком целевого обучения);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65"/>
      <w:bookmarkEnd w:id="6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по осуществлению трудовой деятельности в течение не менее трех лет в соответствии с полученной квалификацией с учетом трудоустройства в срок, установленный таким договором.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166"/>
      <w:bookmarkEnd w:id="7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Сторонами договора о целевом обучении наряду с гражданином, указанным в </w:t>
      </w:r>
      <w:hyperlink r:id="rId5" w:anchor="dst158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1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настоящей статьи, и заказчиком целевого обучения могут также являться организация, осуществляющая образовательную деятельность, и (или) организация, в которую будет трудоустроен гражданин в соответствии с договором о целевом обучении.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167"/>
      <w:bookmarkEnd w:id="8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Организация, осуществляющая образовательную деятельность, в которой обучается гражданин, заключивший договор о целевом обучении, учитывает предложения заказчика целевого обучения при организации прохождения указанным гражданином практики, а также по запросу заказчика целевого обучения предоставляет ему сведения о результатах освоения им образовательной программы.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9" w:name="dst168"/>
      <w:bookmarkEnd w:id="9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</w:t>
      </w:r>
      <w:proofErr w:type="gramStart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Федерации, на территории которого он должен был быть трудоустроен в соответствии с договором о целевом обучении, на дату отчисления его из </w:t>
      </w:r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организации, осуществляющей</w:t>
      </w:r>
      <w:proofErr w:type="gramEnd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образовательную деятельность, в связи с получением образования (завершением обучения).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0" w:name="dst169"/>
      <w:bookmarkEnd w:id="10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 </w:t>
      </w:r>
      <w:proofErr w:type="gramStart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трех лет он обязан возместить заказчику целевого обучения расходы, связанные с предоставлением мер поддержки.</w:t>
      </w:r>
      <w:proofErr w:type="gramEnd"/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1" w:name="dst170"/>
      <w:bookmarkEnd w:id="11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7. </w:t>
      </w:r>
      <w:hyperlink r:id="rId6" w:anchor="dst100012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Положение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о целевом обучении, </w:t>
      </w:r>
      <w:proofErr w:type="gramStart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включающее</w:t>
      </w:r>
      <w:proofErr w:type="gramEnd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том числе порядок заключения и расторжения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выплаты компенсации, порядок определения размера расходов и их возмещения, и </w:t>
      </w:r>
      <w:hyperlink r:id="rId7" w:anchor="dst100196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типовая форма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договора о целевом обучении устанавливаются Правительством Российской Федерации.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2" w:name="dst171"/>
      <w:bookmarkEnd w:id="12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8. </w:t>
      </w:r>
      <w:proofErr w:type="gramStart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Особенности заключения договора о целевом обучении, стороной которого является федеральный государственный орган, орган государственной власти субъекта Российской Федерации или орган местного самоуправления и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обучения, определяются в порядке, установленном федеральными законами о видах государственной службы или законодательством о муниципальной службе.</w:t>
      </w:r>
      <w:proofErr w:type="gramEnd"/>
    </w:p>
    <w:p w:rsidR="006C295E" w:rsidRDefault="006C295E"/>
    <w:p w:rsidR="007B47A3" w:rsidRDefault="007B47A3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Статья 71.1. Особенности приема на целевое </w:t>
      </w:r>
      <w:proofErr w:type="gramStart"/>
      <w:r>
        <w:rPr>
          <w:rFonts w:ascii="Arial" w:hAnsi="Arial" w:cs="Arial"/>
          <w:b/>
          <w:bCs/>
          <w:color w:val="333333"/>
          <w:shd w:val="clear" w:color="auto" w:fill="FFFFFF"/>
        </w:rPr>
        <w:t>обучение по</w:t>
      </w:r>
      <w:proofErr w:type="gram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образовательным программам высшего образования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Право на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граждане, которые в соответствии со </w:t>
      </w:r>
      <w:hyperlink r:id="rId8" w:anchor="dst157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статьей 56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настоящего Федерального закона заключили договор о целевом обучении </w:t>
      </w:r>
      <w:proofErr w:type="gramStart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3" w:name="dst176"/>
      <w:bookmarkEnd w:id="13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федеральными государственными органами, органами государственной власти субъектов Российской Федерации, органами местного самоуправления;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4" w:name="dst177"/>
      <w:bookmarkEnd w:id="14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государственными и муниципальными учреждениями, унитарными предприятиями;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5" w:name="dst178"/>
      <w:bookmarkEnd w:id="15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3) государственными корпорациями;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6" w:name="dst179"/>
      <w:bookmarkEnd w:id="16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4) государственными компаниями;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7" w:name="dst180"/>
      <w:bookmarkEnd w:id="17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5) организациями, включенными в сводный реестр организаций оборонно-промышленного комплекса, формируемый в соответствии с </w:t>
      </w:r>
      <w:hyperlink r:id="rId9" w:anchor="dst100211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частью 2 статьи 21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Федерального закона от 31 декабря 2014 года N 488-ФЗ "О промышленной политике в Российской Федерации";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8" w:name="dst181"/>
      <w:bookmarkEnd w:id="18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6) хозяйственными обществами, в уставном капитале которых присутствует доля Российской Федерации, субъекта Российской Федерации или муниципального образования;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9" w:name="dst182"/>
      <w:bookmarkEnd w:id="19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7) акционерными обществами, акции которых находятся в собственности или в доверительном управлении государственной корпорации;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0" w:name="dst183"/>
      <w:bookmarkEnd w:id="20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8) дочерними хозяйственными обществами организаций, указанных в </w:t>
      </w:r>
      <w:hyperlink r:id="rId10" w:anchor="dst179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пунктах 4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hyperlink r:id="rId11" w:anchor="dst181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6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hyperlink r:id="rId12" w:anchor="dst182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7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настоящей части;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1" w:name="dst184"/>
      <w:bookmarkEnd w:id="21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9) организациями,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корпорациях.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2" w:name="dst185"/>
      <w:bookmarkEnd w:id="22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 Квота приема на целевое </w:t>
      </w:r>
      <w:proofErr w:type="gramStart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обучение по специальностям</w:t>
      </w:r>
      <w:proofErr w:type="gramEnd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направлениям подготовки высшего образования устанавливается с учетом потребностей экономики в квалифицированных кадрах и отраслевых особенностей.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3" w:name="dst186"/>
      <w:bookmarkEnd w:id="23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Установление квоты приема на целевое обучение, утверждение </w:t>
      </w:r>
      <w:hyperlink r:id="rId13" w:anchor="dst100174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порядка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hyperlink r:id="rId14" w:anchor="dst100187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сроков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ее установления осуществляются: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4" w:name="dst187"/>
      <w:bookmarkEnd w:id="24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Правительством Российской Федерации - за счет бюджетных ассигнований федерального бюджета;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5" w:name="dst188"/>
      <w:bookmarkEnd w:id="25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органами государственной власти субъектов Российской Федерации и органами местного самоуправления - за счет соответственно бюджетных ассигнований бюджетов субъектов Российской Федерации, местных бюджетов.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6" w:name="dst189"/>
      <w:bookmarkEnd w:id="26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Правительство Российской Федерации вправе устанавливать квоту приема на целевое </w:t>
      </w:r>
      <w:proofErr w:type="gramStart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обучение по</w:t>
      </w:r>
      <w:proofErr w:type="gramEnd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конкретным специальностям, направлениям подготовки высшего образования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обучении.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7" w:name="dst190"/>
      <w:bookmarkEnd w:id="27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Прием на целевое </w:t>
      </w:r>
      <w:proofErr w:type="gramStart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обучение по</w:t>
      </w:r>
      <w:proofErr w:type="gramEnd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образовательным программам высшего образования в пределах установленной </w:t>
      </w:r>
      <w:hyperlink r:id="rId15" w:anchor="dst100095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квоты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осуществляется по конкурсу, проводимому в соответствии с порядком приема, предусмотренным </w:t>
      </w:r>
      <w:hyperlink r:id="rId16" w:anchor="dst244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частью 8 статьи 55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настоящего Федерального закона, по специальностям, направлениям подготовки, </w:t>
      </w:r>
      <w:hyperlink r:id="rId17" w:anchor="dst100006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перечень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которых определяется Правительством Российской Федерации.</w:t>
      </w:r>
    </w:p>
    <w:p w:rsidR="007B47A3" w:rsidRPr="007B47A3" w:rsidRDefault="007B47A3" w:rsidP="007B47A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8" w:name="dst191"/>
      <w:bookmarkEnd w:id="28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 </w:t>
      </w:r>
      <w:proofErr w:type="gramStart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случаях неисполнения заказчиком целевого обучения обязательства по трудоустройству гражданина, принятого на целевое обучение в соответствии с </w:t>
      </w:r>
      <w:hyperlink r:id="rId18" w:anchor="dst175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частью 1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настоящей статьи, а гражданином обязательства по осуществлению трудовой деятельности в течение трех лет наряду с ответственностью, предусмотренной </w:t>
      </w:r>
      <w:hyperlink r:id="rId19" w:anchor="dst168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частями 5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hyperlink r:id="rId20" w:anchor="dst169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6 статьи 56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настоящего Федерального закона, заказчик целевого обучения или гражданин, принятый на целевое обучение в соответствии с </w:t>
      </w:r>
      <w:hyperlink r:id="rId21" w:anchor="dst175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частью 1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настоящей</w:t>
      </w:r>
      <w:proofErr w:type="gramEnd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статьи, выплачивает организации, осуществляющей образовательную деятельность, в которой обучался гражданин, штраф в размере расходов федерального бюджета, бюджета субъекта Российской Федерации или местного бюджета, осуществленных на обучение гражданина, который направляется на финансовое обеспечение образовательной деятельности по образовательным программам высшего образования. </w:t>
      </w:r>
      <w:hyperlink r:id="rId22" w:anchor="dst100153" w:history="1">
        <w:proofErr w:type="gramStart"/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Порядок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выплаты указанного штрафа, порядок и </w:t>
      </w:r>
      <w:hyperlink r:id="rId23" w:anchor="dst100165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основания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освобождения сторон договора о целевом обучении от его выплаты, </w:t>
      </w:r>
      <w:hyperlink r:id="rId24" w:anchor="dst100159" w:history="1">
        <w:r w:rsidRPr="007B47A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порядок</w:t>
        </w:r>
      </w:hyperlink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федерального бюджета, устанавливаются Правительством Российской Федерации в положении о целевом обучении, а за счет средств бюджетов субъектов Российской Федерации или местных бюджетов органами государственной</w:t>
      </w:r>
      <w:proofErr w:type="gramEnd"/>
      <w:r w:rsidRPr="007B47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власти субъектов Российской Федерации или органами местного самоуправления.</w:t>
      </w:r>
    </w:p>
    <w:p w:rsidR="007B47A3" w:rsidRDefault="007B47A3">
      <w:bookmarkStart w:id="29" w:name="_GoBack"/>
      <w:bookmarkEnd w:id="29"/>
    </w:p>
    <w:sectPr w:rsidR="007B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BC"/>
    <w:rsid w:val="006C295E"/>
    <w:rsid w:val="007508BC"/>
    <w:rsid w:val="007B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B47A3"/>
  </w:style>
  <w:style w:type="character" w:styleId="a3">
    <w:name w:val="Hyperlink"/>
    <w:basedOn w:val="a0"/>
    <w:uiPriority w:val="99"/>
    <w:semiHidden/>
    <w:unhideWhenUsed/>
    <w:rsid w:val="007B47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B47A3"/>
  </w:style>
  <w:style w:type="character" w:styleId="a3">
    <w:name w:val="Hyperlink"/>
    <w:basedOn w:val="a0"/>
    <w:uiPriority w:val="99"/>
    <w:semiHidden/>
    <w:unhideWhenUsed/>
    <w:rsid w:val="007B4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6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1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6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7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1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6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2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0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7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7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9251/996280ab805aa876a422585d066764f23a792ccf/" TargetMode="External"/><Relationship Id="rId13" Type="http://schemas.openxmlformats.org/officeDocument/2006/relationships/hyperlink" Target="http://www.consultant.ru/document/cons_doc_LAW_335904/" TargetMode="External"/><Relationship Id="rId18" Type="http://schemas.openxmlformats.org/officeDocument/2006/relationships/hyperlink" Target="http://www.consultant.ru/document/cons_doc_LAW_339251/01fe03b8db6170fb20e3b80133497580a718b7e8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339251/01fe03b8db6170fb20e3b80133497580a718b7e8/" TargetMode="External"/><Relationship Id="rId7" Type="http://schemas.openxmlformats.org/officeDocument/2006/relationships/hyperlink" Target="http://www.consultant.ru/document/cons_doc_LAW_335904/" TargetMode="External"/><Relationship Id="rId12" Type="http://schemas.openxmlformats.org/officeDocument/2006/relationships/hyperlink" Target="http://www.consultant.ru/document/cons_doc_LAW_339251/01fe03b8db6170fb20e3b80133497580a718b7e8/" TargetMode="External"/><Relationship Id="rId17" Type="http://schemas.openxmlformats.org/officeDocument/2006/relationships/hyperlink" Target="http://www.consultant.ru/document/cons_doc_LAW_324950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339251/296acc03f4dfbea960a2b486d6f0c63402a7b5b9/" TargetMode="External"/><Relationship Id="rId20" Type="http://schemas.openxmlformats.org/officeDocument/2006/relationships/hyperlink" Target="http://www.consultant.ru/document/cons_doc_LAW_339251/996280ab805aa876a422585d066764f23a792ccf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35904/" TargetMode="External"/><Relationship Id="rId11" Type="http://schemas.openxmlformats.org/officeDocument/2006/relationships/hyperlink" Target="http://www.consultant.ru/document/cons_doc_LAW_339251/01fe03b8db6170fb20e3b80133497580a718b7e8/" TargetMode="External"/><Relationship Id="rId24" Type="http://schemas.openxmlformats.org/officeDocument/2006/relationships/hyperlink" Target="http://www.consultant.ru/document/cons_doc_LAW_335904/" TargetMode="External"/><Relationship Id="rId5" Type="http://schemas.openxmlformats.org/officeDocument/2006/relationships/hyperlink" Target="http://www.consultant.ru/document/cons_doc_LAW_339251/996280ab805aa876a422585d066764f23a792ccf/" TargetMode="External"/><Relationship Id="rId15" Type="http://schemas.openxmlformats.org/officeDocument/2006/relationships/hyperlink" Target="http://www.consultant.ru/document/cons_doc_LAW_324816/" TargetMode="External"/><Relationship Id="rId23" Type="http://schemas.openxmlformats.org/officeDocument/2006/relationships/hyperlink" Target="http://www.consultant.ru/document/cons_doc_LAW_335904/" TargetMode="External"/><Relationship Id="rId10" Type="http://schemas.openxmlformats.org/officeDocument/2006/relationships/hyperlink" Target="http://www.consultant.ru/document/cons_doc_LAW_339251/01fe03b8db6170fb20e3b80133497580a718b7e8/" TargetMode="External"/><Relationship Id="rId19" Type="http://schemas.openxmlformats.org/officeDocument/2006/relationships/hyperlink" Target="http://www.consultant.ru/document/cons_doc_LAW_339251/996280ab805aa876a422585d066764f23a792cc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30906/" TargetMode="External"/><Relationship Id="rId14" Type="http://schemas.openxmlformats.org/officeDocument/2006/relationships/hyperlink" Target="http://www.consultant.ru/document/cons_doc_LAW_335904/" TargetMode="External"/><Relationship Id="rId22" Type="http://schemas.openxmlformats.org/officeDocument/2006/relationships/hyperlink" Target="http://www.consultant.ru/document/cons_doc_LAW_3359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1617</Words>
  <Characters>9219</Characters>
  <Application>Microsoft Office Word</Application>
  <DocSecurity>0</DocSecurity>
  <Lines>76</Lines>
  <Paragraphs>21</Paragraphs>
  <ScaleCrop>false</ScaleCrop>
  <Company/>
  <LinksUpToDate>false</LinksUpToDate>
  <CharactersWithSpaces>10815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2019-12-05T07:25:00Z</dcterms:created>
  <dcterms:modified xsi:type="dcterms:W3CDTF">2019-12-05T07:30:00Z</dcterms:modified>
</cp:coreProperties>
</file>