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деятельности ОДО МО Павловский район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(2020-2021 учебный год):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contextualSpacing/>
        <w:jc w:val="both"/>
        <w:textAlignment w:val="baseline"/>
        <w:rPr/>
      </w:pP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Павловский район находятся 4 организации дополнительного образования -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Муниципальное казенное образовательное учреждение дополнительного образования «Центр детского творчества», Муниципальное казенное образовательное учреждение дополнительного образования «Дом детского творчества» станицы Атаманской, </w:t>
      </w:r>
      <w:r>
        <w:rPr>
          <w:rFonts w:ascii="Times New Roman" w:hAnsi="Times New Roman"/>
          <w:sz w:val="28"/>
          <w:szCs w:val="28"/>
        </w:rPr>
        <w:t xml:space="preserve">Муниципальное казенное образовательное учреждение дополнительного образования «Дом детского творчества» станицы Старолеушковской и </w:t>
      </w:r>
      <w:r>
        <w:rPr>
          <w:rFonts w:eastAsia="Calibri" w:ascii="Times New Roman" w:hAnsi="Times New Roman"/>
          <w:sz w:val="28"/>
          <w:szCs w:val="28"/>
        </w:rPr>
        <w:t>М</w:t>
      </w:r>
      <w:r>
        <w:rPr>
          <w:rFonts w:eastAsia="Calibri" w:ascii="Times New Roman" w:hAnsi="Times New Roman"/>
          <w:sz w:val="28"/>
          <w:szCs w:val="28"/>
          <w:lang w:eastAsia="en-US"/>
        </w:rPr>
        <w:t>униципальное казенное образовательное учреждение дополнительного образования «Детско-юношеская спортивная школа».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учреждениях работают 4 директора, 13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заместителей директора, 5 методиста, 5 педагогов-организаторов, 106 педагогов (в том числе концертмейстеров 2), среди которых - основных работников 61 чел., совместителей 46 чел. Сравнительный анализ представлен в таблице.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>Распределение педагогов по уровню образования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</w:r>
    </w:p>
    <w:tbl>
      <w:tblPr>
        <w:tblW w:w="99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831"/>
        <w:gridCol w:w="851"/>
        <w:gridCol w:w="850"/>
        <w:gridCol w:w="853"/>
        <w:gridCol w:w="847"/>
        <w:gridCol w:w="851"/>
        <w:gridCol w:w="851"/>
        <w:gridCol w:w="999"/>
        <w:gridCol w:w="843"/>
      </w:tblGrid>
      <w:tr>
        <w:trPr>
          <w:trHeight w:val="53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Образование 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Высшее образование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Среднее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профессиональное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Среднее</w:t>
            </w:r>
          </w:p>
        </w:tc>
      </w:tr>
      <w:tr>
        <w:trPr>
          <w:trHeight w:val="25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учебный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18-19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18-19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18-19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</w:t>
            </w:r>
          </w:p>
        </w:tc>
      </w:tr>
      <w:tr>
        <w:trPr>
          <w:trHeight w:val="265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Основные  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5</w:t>
            </w:r>
          </w:p>
        </w:tc>
      </w:tr>
      <w:tr>
        <w:trPr>
          <w:trHeight w:val="25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Совместители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0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8"/>
          <w:szCs w:val="8"/>
          <w:lang w:eastAsia="ar-SA"/>
        </w:rPr>
      </w:pPr>
      <w:r>
        <w:rPr>
          <w:rFonts w:ascii="Times New Roman" w:hAnsi="Times New Roman"/>
          <w:b/>
          <w:sz w:val="8"/>
          <w:szCs w:val="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>Анализируя таблицу, видим, что на протяжении двух последних учебных лет, наибольшее количество педагогических работников повышают свое профессиональное образование.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>Во всех организациях дополнительного образования имеются педагогические работники по основному месту работу, не имеющие педагогического образования, их количество на окончание 2020-21 учебного года в таблице: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tbl>
      <w:tblPr>
        <w:tblW w:w="1077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1315"/>
        <w:gridCol w:w="1561"/>
        <w:gridCol w:w="1277"/>
        <w:gridCol w:w="1277"/>
        <w:gridCol w:w="1561"/>
        <w:gridCol w:w="1192"/>
      </w:tblGrid>
      <w:tr>
        <w:trPr/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lang w:eastAsia="ar-S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ar-SA"/>
              </w:rPr>
              <w:t>ОДО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2019-20 уч.г.</w:t>
            </w:r>
          </w:p>
        </w:tc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2020-21 уч. г</w:t>
            </w:r>
          </w:p>
        </w:tc>
      </w:tr>
      <w:tr>
        <w:trPr/>
        <w:tc>
          <w:tcPr>
            <w:tcW w:w="2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Общее число педагогов по основному месту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Кол-во педагогов без педагогического 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Процент от общего числа педагогов,</w:t>
            </w:r>
            <w:r>
              <w:rPr>
                <w:rFonts w:eastAsia="Calibri" w:ascii="Times New Roman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Общее число педагогов по основному месту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Кол-во педагогов без педагогического образования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 xml:space="preserve">Процент от общего числа педагогов, </w:t>
            </w:r>
            <w:r>
              <w:rPr>
                <w:rFonts w:eastAsia="Calibri" w:ascii="Times New Roman" w:hAnsi="Times New Roman"/>
                <w:sz w:val="28"/>
                <w:szCs w:val="28"/>
                <w:lang w:eastAsia="ar-SA"/>
              </w:rPr>
              <w:t>%</w:t>
            </w:r>
          </w:p>
        </w:tc>
      </w:tr>
      <w:tr>
        <w:trPr/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ЦДТ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45,4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27,2</w:t>
            </w:r>
          </w:p>
        </w:tc>
      </w:tr>
      <w:tr>
        <w:trPr/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ДДТ ст. Атаманской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33,3</w:t>
            </w:r>
          </w:p>
        </w:tc>
      </w:tr>
      <w:tr>
        <w:trPr/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ДДТ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ст. Старолеушковской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31,6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15,8</w:t>
            </w:r>
          </w:p>
        </w:tc>
      </w:tr>
      <w:tr>
        <w:trPr/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ДЮСШ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8,3</w:t>
            </w:r>
          </w:p>
        </w:tc>
      </w:tr>
      <w:tr>
        <w:trPr/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color w:val="00000A"/>
                <w:kern w:val="2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ar-SA"/>
              </w:rPr>
              <w:t>22,6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ar-SA"/>
              </w:rPr>
              <w:t>16,7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 xml:space="preserve">Таким образом, количество педагогических работников без педагогического образования в 2020-2021 учебном году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уменьшилось</w:t>
      </w:r>
      <w:r>
        <w:rPr>
          <w:rFonts w:ascii="Times New Roman" w:hAnsi="Times New Roman"/>
          <w:sz w:val="28"/>
          <w:szCs w:val="28"/>
          <w:lang w:eastAsia="ar-SA"/>
        </w:rPr>
        <w:t xml:space="preserve"> на 5,9%, тем самым задача получения педагогами педагогического образования, администрацией муниципального образования Павловский район частично выполняется.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>Распределение педагогов по квалификационной категории всего: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  <w:lang w:eastAsia="ar-SA"/>
        </w:rPr>
      </w:pPr>
      <w:r>
        <w:rPr>
          <w:rFonts w:ascii="Times New Roman" w:hAnsi="Times New Roman"/>
          <w:b/>
          <w:sz w:val="16"/>
          <w:szCs w:val="16"/>
          <w:lang w:eastAsia="ar-SA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920"/>
        <w:gridCol w:w="897"/>
        <w:gridCol w:w="1088"/>
        <w:gridCol w:w="1018"/>
        <w:gridCol w:w="1340"/>
        <w:gridCol w:w="1289"/>
        <w:gridCol w:w="1073"/>
        <w:gridCol w:w="1298"/>
      </w:tblGrid>
      <w:tr>
        <w:trPr/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Категория/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уч. год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Высшая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категория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Первая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категория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Не имеют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категории</w:t>
            </w:r>
          </w:p>
        </w:tc>
      </w:tr>
      <w:tr>
        <w:trPr/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19-20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19-20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19-20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19-20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</w:t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Основные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7</w:t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Совместители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17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8"/>
          <w:szCs w:val="8"/>
          <w:lang w:eastAsia="ar-SA"/>
        </w:rPr>
      </w:pPr>
      <w:r>
        <w:rPr>
          <w:rFonts w:ascii="Times New Roman" w:hAnsi="Times New Roman"/>
          <w:b/>
          <w:sz w:val="8"/>
          <w:szCs w:val="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Мы видим из таблицы, в ОДО еще имеются педагогические работники по основному месту работы без квалификационной категории, их число составляет в 2020-2021 учебном году 7 человек (11,6% от числа педагогов по основному месту работы), а в 2019-20 учебном году было 13 человек (20,9% от числа педагогов по основному месту работы), наблюдается уменьшение педагогов, не имеющих категории на 6 человек по сравнению с прошлым годом.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>Распределение педагогов, получивших квалификационную категорию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>в 2020-2021 учебном году в сравнении с 2019-2020 учебным годом: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  <w:lang w:eastAsia="ar-SA"/>
        </w:rPr>
      </w:pPr>
      <w:r>
        <w:rPr>
          <w:rFonts w:ascii="Times New Roman" w:hAnsi="Times New Roman"/>
          <w:b/>
          <w:sz w:val="16"/>
          <w:szCs w:val="16"/>
          <w:lang w:eastAsia="ar-SA"/>
        </w:rPr>
      </w:r>
    </w:p>
    <w:tbl>
      <w:tblPr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870"/>
        <w:gridCol w:w="973"/>
        <w:gridCol w:w="922"/>
        <w:gridCol w:w="957"/>
        <w:gridCol w:w="1206"/>
        <w:gridCol w:w="1163"/>
        <w:gridCol w:w="1281"/>
        <w:gridCol w:w="1306"/>
      </w:tblGrid>
      <w:tr>
        <w:trPr/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Высшая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категория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Первая </w:t>
            </w:r>
          </w:p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категория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Не имеют категории</w:t>
            </w:r>
          </w:p>
        </w:tc>
      </w:tr>
      <w:tr>
        <w:trPr/>
        <w:tc>
          <w:tcPr>
            <w:tcW w:w="1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</w:tr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Основные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28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7</w:t>
            </w:r>
          </w:p>
        </w:tc>
      </w:tr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Совместители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16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8"/>
          <w:szCs w:val="8"/>
          <w:lang w:eastAsia="ar-SA"/>
        </w:rPr>
      </w:pPr>
      <w:r>
        <w:rPr>
          <w:rFonts w:ascii="Times New Roman" w:hAnsi="Times New Roman"/>
          <w:b/>
          <w:sz w:val="8"/>
          <w:szCs w:val="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8"/>
          <w:szCs w:val="8"/>
          <w:lang w:eastAsia="ar-SA"/>
        </w:rPr>
      </w:pPr>
      <w:r>
        <w:rPr>
          <w:rFonts w:ascii="Times New Roman" w:hAnsi="Times New Roman"/>
          <w:b/>
          <w:sz w:val="8"/>
          <w:szCs w:val="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Анализируя вопрос получения квалификации педагогических работников, делаем вывод по каждой организации дополнительного образования: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  <w:t>- в ЦДТ в 2020-21 учебного года квалификационную категорию повысили 2 педагога по основному месту, на соответствие занимаемой должности не повысил ни один педагог (в тот же период 2019-2020 учебного года ни один педагог не повысил);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  <w:t>- в ДДТ ст. Атаманской квалификационную категорию не повысил ни один педагог (соответствие занимаемой должности), по основному месту работы 1 педагог (в тот же период 2019-20 учебного года повысили 4 педагога по основному месту работу и 1 по совместительству);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  <w:t>- в ДДТ ст. Старолеушковской – ни один педагог по основному месту работы (соответствие занимаемой должности) (1 педагог в прошлом году по основному месту работы);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  <w:t>- в ДЮСШ – 1 педагог по основному месту работы (соответствие занимаемой должности) (в прошлом году 7 педагогов).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Таким образом, наблюдается положительная динамика работы методической службы только в ДЮСШ, в остальных организациях дополнительного образования методическая служба работает не в полную силу.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>Распределение педагогов по возрастному цензу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  <w:lang w:eastAsia="ar-SA"/>
        </w:rPr>
      </w:pPr>
      <w:r>
        <w:rPr>
          <w:rFonts w:ascii="Times New Roman" w:hAnsi="Times New Roman"/>
          <w:b/>
          <w:sz w:val="16"/>
          <w:szCs w:val="16"/>
          <w:lang w:eastAsia="ar-SA"/>
        </w:rPr>
      </w:r>
    </w:p>
    <w:tbl>
      <w:tblPr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264"/>
        <w:gridCol w:w="1137"/>
        <w:gridCol w:w="937"/>
        <w:gridCol w:w="936"/>
        <w:gridCol w:w="940"/>
        <w:gridCol w:w="938"/>
        <w:gridCol w:w="1225"/>
        <w:gridCol w:w="1289"/>
      </w:tblGrid>
      <w:tr>
        <w:trPr/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Моложе 25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25-35 лет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35-55 лет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55 лет и выше</w:t>
            </w:r>
          </w:p>
        </w:tc>
      </w:tr>
      <w:tr>
        <w:trPr/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Основные 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17</w:t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Совместители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</w:rPr>
              <w:t>7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ab/>
        <w:t>Исследуя возрастные показатели в каждой организации дополнительного образования, можно сказать, что молодые педагоги в возрасте до 25 лет имеются только в ЦДТ и ДЮСШ – 3 педагога по основному месту работы (4,8% от общего числа педагогов).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ab/>
        <w:t xml:space="preserve">На протяжении последних двух лет в ОДО работают много педагогов предпенсионного возраста. В 2020-21 учебном году их число составляет 40 человек по основному месту работы </w:t>
      </w:r>
      <w:bookmarkStart w:id="0" w:name="_GoBack"/>
      <w:bookmarkEnd w:id="0"/>
      <w:r>
        <w:rPr>
          <w:rFonts w:eastAsia="Andale Sans UI" w:ascii="Times New Roman" w:hAnsi="Times New Roman"/>
          <w:kern w:val="2"/>
          <w:sz w:val="28"/>
          <w:szCs w:val="28"/>
        </w:rPr>
        <w:t>(64,5% от общего числа педагогов).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ab/>
        <w:t>Данная проблема в последние годы приводит к снижению омоложения педагогического коллектива в ОДО Павловского района.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>Достижения педагогов в профессиональных конкурсах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</w:r>
    </w:p>
    <w:tbl>
      <w:tblPr>
        <w:tblW w:w="105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7"/>
        <w:gridCol w:w="1418"/>
        <w:gridCol w:w="1417"/>
        <w:gridCol w:w="1557"/>
        <w:gridCol w:w="1418"/>
        <w:gridCol w:w="1419"/>
      </w:tblGrid>
      <w:tr>
        <w:trPr/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Уровень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color w:val="00000A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color w:val="00000A"/>
                <w:kern w:val="2"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участников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победителей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призеров</w:t>
            </w:r>
          </w:p>
        </w:tc>
      </w:tr>
      <w:tr>
        <w:trPr/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краевой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2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Анализируя участие педагогов ОДО в конкурсах, можно отметить, что количество участников во всех этапах конкурсов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увеличилось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Увеличение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количества участников педагогических конкурсов произошло вследствие увеличения количества конкурсов.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</w:rPr>
        <w:t>Программы, реализуемые в учреждении, по направленностям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всего обучающихся – в 2020-21 учебном году - </w:t>
      </w:r>
      <w:r>
        <w:rPr>
          <w:rFonts w:ascii="Times New Roman" w:hAnsi="Times New Roman"/>
          <w:b/>
          <w:sz w:val="28"/>
          <w:szCs w:val="28"/>
          <w:u w:val="single"/>
        </w:rPr>
        <w:t>3828;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в 2019-20 учебном году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3739.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tbl>
      <w:tblPr>
        <w:tblW w:w="10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611"/>
        <w:gridCol w:w="871"/>
        <w:gridCol w:w="892"/>
        <w:gridCol w:w="952"/>
        <w:gridCol w:w="851"/>
        <w:gridCol w:w="905"/>
        <w:gridCol w:w="938"/>
        <w:gridCol w:w="964"/>
        <w:gridCol w:w="1171"/>
      </w:tblGrid>
      <w:tr>
        <w:trPr/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программ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охвата</w:t>
            </w:r>
          </w:p>
        </w:tc>
      </w:tr>
      <w:tr>
        <w:trPr/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 уч.г.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 уч.г.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1299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</w:tr>
      <w:tr>
        <w:trPr/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Из данной таблицы видна организационная работа учреждений дополнительного образования в результате данной деятельности количество детей в 2020-21 учебном году увеличилось по сравнению с 2019-20 учебным годом на 89 человек.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Наибольший охват детей остается в художественной и физкультурно – спортивной направленности, несмотря на то что в художественной направленности в текущем году имеется небольшое снижение охвата на 3,2%, значительно увеличился охват детей в социально-педагогической направленности на 6%.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>Занятость обучающихся по уровням образования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</w:r>
    </w:p>
    <w:tbl>
      <w:tblPr>
        <w:tblW w:w="144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71"/>
        <w:gridCol w:w="504"/>
        <w:gridCol w:w="602"/>
        <w:gridCol w:w="532"/>
        <w:gridCol w:w="503"/>
        <w:gridCol w:w="489"/>
        <w:gridCol w:w="490"/>
        <w:gridCol w:w="452"/>
        <w:gridCol w:w="542"/>
        <w:gridCol w:w="449"/>
        <w:gridCol w:w="489"/>
        <w:gridCol w:w="360"/>
        <w:gridCol w:w="492"/>
        <w:gridCol w:w="386"/>
        <w:gridCol w:w="536"/>
        <w:gridCol w:w="494"/>
        <w:gridCol w:w="586"/>
        <w:gridCol w:w="407"/>
        <w:gridCol w:w="503"/>
        <w:gridCol w:w="491"/>
        <w:gridCol w:w="879"/>
        <w:gridCol w:w="884"/>
        <w:gridCol w:w="881"/>
        <w:gridCol w:w="862"/>
      </w:tblGrid>
      <w:tr>
        <w:trPr/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число обучающихся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% общего кол-ва</w:t>
            </w:r>
          </w:p>
        </w:tc>
        <w:tc>
          <w:tcPr>
            <w:tcW w:w="766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87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9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5,5-7 лет</w:t>
            </w:r>
          </w:p>
        </w:tc>
        <w:tc>
          <w:tcPr>
            <w:tcW w:w="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8-11 лет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12-16 лет</w:t>
            </w:r>
          </w:p>
        </w:tc>
        <w:tc>
          <w:tcPr>
            <w:tcW w:w="1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17-18 лет</w:t>
            </w:r>
          </w:p>
        </w:tc>
        <w:tc>
          <w:tcPr>
            <w:tcW w:w="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87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74" w:hRule="atLeast"/>
          <w:cantSplit w:val="true"/>
        </w:trPr>
        <w:tc>
          <w:tcPr>
            <w:tcW w:w="109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  - 20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   -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21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19 - 20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   -   21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-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21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6"/>
                <w:szCs w:val="26"/>
              </w:rPr>
              <w:t>-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21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19 -20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-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21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kern w:val="2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20-21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20 -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21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</w:t>
            </w:r>
          </w:p>
        </w:tc>
        <w:tc>
          <w:tcPr>
            <w:tcW w:w="4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20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 xml:space="preserve">- 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21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19 - 20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20 - 21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19-20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-</w:t>
            </w:r>
          </w:p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21</w:t>
            </w:r>
          </w:p>
        </w:tc>
        <w:tc>
          <w:tcPr>
            <w:tcW w:w="87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</w:r>
          </w:p>
        </w:tc>
        <w:tc>
          <w:tcPr>
            <w:tcW w:w="88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</w:r>
          </w:p>
        </w:tc>
        <w:tc>
          <w:tcPr>
            <w:tcW w:w="88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15-16 уч.г.</w:t>
            </w:r>
          </w:p>
        </w:tc>
        <w:tc>
          <w:tcPr>
            <w:tcW w:w="862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overflowPunct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16-17 уч.г.</w:t>
            </w:r>
          </w:p>
        </w:tc>
      </w:tr>
      <w:tr>
        <w:trPr>
          <w:trHeight w:val="1134" w:hRule="atLeast"/>
          <w:cantSplit w:val="true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 xml:space="preserve">участвуют </w:t>
            </w:r>
            <w:r>
              <w:rPr>
                <w:rFonts w:eastAsia="Andale Sans UI" w:ascii="Times New Roman" w:hAnsi="Times New Roman"/>
                <w:kern w:val="2"/>
                <w:sz w:val="24"/>
                <w:szCs w:val="24"/>
                <w:u w:val="single"/>
              </w:rPr>
              <w:t>только</w:t>
            </w: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 xml:space="preserve"> в одном объединении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2106 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2200 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56,3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57,5 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195 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372 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9,3 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16,9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891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858 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42,3</w:t>
            </w: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39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914 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893 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43,4 </w:t>
            </w:r>
          </w:p>
        </w:tc>
        <w:tc>
          <w:tcPr>
            <w:tcW w:w="4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40,6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106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78 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5 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3,5</w:t>
            </w:r>
          </w:p>
        </w:tc>
        <w:tc>
          <w:tcPr>
            <w:tcW w:w="87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участвуют в двух объединениях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1168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1298 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31,2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33,9 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118 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209 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10,1 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16,1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658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554 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56,3</w:t>
            </w: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42,6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361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397 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31</w:t>
            </w:r>
          </w:p>
        </w:tc>
        <w:tc>
          <w:tcPr>
            <w:tcW w:w="4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30,6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31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48 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2,7 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3,7</w:t>
            </w:r>
          </w:p>
        </w:tc>
        <w:tc>
          <w:tcPr>
            <w:tcW w:w="87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участвуют в трех и более объединениях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465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324 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12,4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8,4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293 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107 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63,0 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33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84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106 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18,1</w:t>
            </w: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32,7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76 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93 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16,3 </w:t>
            </w:r>
          </w:p>
        </w:tc>
        <w:tc>
          <w:tcPr>
            <w:tcW w:w="4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28,7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8 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2,6 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2,5</w:t>
            </w:r>
          </w:p>
        </w:tc>
        <w:tc>
          <w:tcPr>
            <w:tcW w:w="87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3739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3822 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606 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668 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16,2 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17,4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1633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1518 </w:t>
            </w: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43,7</w:t>
            </w: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39,7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1351 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1383 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36,1</w:t>
            </w:r>
          </w:p>
        </w:tc>
        <w:tc>
          <w:tcPr>
            <w:tcW w:w="49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0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36,2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149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134 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 xml:space="preserve">4 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textDirection w:val="btLr"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 w:hanging="0"/>
              <w:jc w:val="left"/>
              <w:textAlignment w:val="baseline"/>
              <w:rPr>
                <w:rFonts w:ascii="Times New Roman" w:hAnsi="Times New Roman" w:eastAsia="Andale Sans UI"/>
                <w:b/>
                <w:b/>
                <w:kern w:val="2"/>
                <w:sz w:val="24"/>
                <w:szCs w:val="24"/>
              </w:rPr>
            </w:pPr>
            <w:r>
              <w:rPr>
                <w:rFonts w:eastAsia="Andale Sans UI" w:ascii="Times New Roman" w:hAnsi="Times New Roman"/>
                <w:b/>
                <w:kern w:val="2"/>
                <w:sz w:val="24"/>
                <w:szCs w:val="24"/>
              </w:rPr>
              <w:t>3,5</w:t>
            </w:r>
          </w:p>
        </w:tc>
        <w:tc>
          <w:tcPr>
            <w:tcW w:w="87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4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81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Подводя итог о возрасте обучающихся, занятых дополнительным образованием в 2020-21 учебном году, делаем вывод, что наибольшее количество детей, посещающих ОДО, в возрасте от 12 до 16 лет (40,6%), наименьшее – от 17 до 18 лет (3,5%), в 2019-20 учебном году наибольшее число детей было в возрасте от 12 до 16 лет (43,4%), наименьшее - от 17 до 18 лет (5%). Всего 92,5%.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 протяжении двух последних учебных лет, возрастной состав обучающихся, посещающих организаций дополнительного образования, не изменился. Посещение организаций дополнительного образования обучающимися в возрасте от 17 до 18 лет снизился, в связи с окончанием общеобразовательных организаций и подготовкой учащихся к сдаче государственной итоговой аттестации.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занятость обучающихся: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одном объединении в возрасте от 8 до 11 лет и от 12 до 16 лет;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двух объединениях в возрасте от 8 до 11 лет и от 12 до 16 лет;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трех объединениях – от 5,5 до 7 лет.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>Эффективность участия обучающихся в конкурсах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>различного уровня в 2019-2020 учебном году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</w:r>
    </w:p>
    <w:tbl>
      <w:tblPr>
        <w:tblW w:w="1077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48"/>
        <w:gridCol w:w="813"/>
        <w:gridCol w:w="673"/>
        <w:gridCol w:w="744"/>
        <w:gridCol w:w="671"/>
        <w:gridCol w:w="676"/>
        <w:gridCol w:w="991"/>
        <w:gridCol w:w="851"/>
        <w:gridCol w:w="811"/>
        <w:gridCol w:w="899"/>
        <w:gridCol w:w="850"/>
        <w:gridCol w:w="772"/>
      </w:tblGrid>
      <w:tr>
        <w:trPr/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зональный/ краевой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всероссийский/ международный уровень</w:t>
            </w:r>
          </w:p>
        </w:tc>
      </w:tr>
      <w:tr>
        <w:trPr/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>
        <w:trPr>
          <w:trHeight w:val="1622" w:hRule="atLeast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55/42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2/2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>Эффективность участия обучающихся в конкурсах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>различного уровня в 2020-2021 учебном году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/>
          <w:b/>
          <w:b/>
          <w:kern w:val="2"/>
          <w:sz w:val="28"/>
          <w:szCs w:val="28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</w:r>
    </w:p>
    <w:tbl>
      <w:tblPr>
        <w:tblW w:w="1077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48"/>
        <w:gridCol w:w="813"/>
        <w:gridCol w:w="673"/>
        <w:gridCol w:w="744"/>
        <w:gridCol w:w="671"/>
        <w:gridCol w:w="676"/>
        <w:gridCol w:w="991"/>
        <w:gridCol w:w="851"/>
        <w:gridCol w:w="811"/>
        <w:gridCol w:w="899"/>
        <w:gridCol w:w="850"/>
        <w:gridCol w:w="772"/>
      </w:tblGrid>
      <w:tr>
        <w:trPr/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зональный/ краевой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всероссийский/ международный уровень</w:t>
            </w:r>
          </w:p>
        </w:tc>
      </w:tr>
      <w:tr>
        <w:trPr/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>
        <w:trPr>
          <w:trHeight w:val="1622" w:hRule="atLeast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128/14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27/6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7/17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8/0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54/46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34/14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17/18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</w:tr>
      <w:tr>
        <w:trPr>
          <w:trHeight w:val="341" w:hRule="atLeas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35/81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</w:tr>
    </w:tbl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участия обучающихся ОДО в конкурсах различного уровня в течение 2-х последних учебных лет, показал, что на уровне учреждений идет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рост</w:t>
      </w:r>
      <w:r>
        <w:rPr>
          <w:rFonts w:ascii="Times New Roman" w:hAnsi="Times New Roman"/>
          <w:sz w:val="28"/>
          <w:szCs w:val="28"/>
        </w:rPr>
        <w:t xml:space="preserve"> участия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в конкурсах как на муниципальном этапе так и на зональном уровне. </w:t>
      </w:r>
      <w:r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я обучающихся</w:t>
      </w:r>
      <w:r>
        <w:rPr>
          <w:rFonts w:ascii="Times New Roman" w:hAnsi="Times New Roman"/>
          <w:sz w:val="28"/>
          <w:szCs w:val="28"/>
        </w:rPr>
        <w:t xml:space="preserve"> в конкурсах наблюдается во всероссийских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международных конкурсах. В текущем году на повышение </w:t>
      </w:r>
      <w:r>
        <w:rPr>
          <w:rFonts w:ascii="Times New Roman" w:hAnsi="Times New Roman"/>
          <w:sz w:val="28"/>
          <w:szCs w:val="28"/>
        </w:rPr>
        <w:t xml:space="preserve">роста </w:t>
      </w:r>
      <w:r>
        <w:rPr>
          <w:rFonts w:ascii="Times New Roman" w:hAnsi="Times New Roman"/>
          <w:sz w:val="28"/>
          <w:szCs w:val="28"/>
        </w:rPr>
        <w:t>участия повлияло проведение конкурсов не только в офлайн-формате, но и онлайн-формате в сети Интернет, в связи с объявление ситуации повышенной готовности по предупреждению распространения коронавирусной инфекции во время которой были отменены все массовые мероприятия.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Эффективность участия обучающихся организаций дополнительного образования в детских конкурсах прослеживается в таблице: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743"/>
        <w:gridCol w:w="31"/>
        <w:gridCol w:w="713"/>
        <w:gridCol w:w="922"/>
        <w:gridCol w:w="22"/>
        <w:gridCol w:w="943"/>
        <w:gridCol w:w="693"/>
        <w:gridCol w:w="27"/>
        <w:gridCol w:w="659"/>
        <w:gridCol w:w="602"/>
        <w:gridCol w:w="698"/>
        <w:gridCol w:w="740"/>
        <w:gridCol w:w="1103"/>
        <w:gridCol w:w="992"/>
        <w:gridCol w:w="993"/>
      </w:tblGrid>
      <w:tr>
        <w:trPr/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уч.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зональный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</w:tr>
      <w:tr>
        <w:trPr>
          <w:trHeight w:val="1549" w:hRule="atLeast"/>
          <w:cantSplit w:val="true"/>
        </w:trPr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победители и призеры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победители и призеры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победители и призеры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победители и призеры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победители и призеры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победители и призеры</w:t>
            </w:r>
          </w:p>
        </w:tc>
      </w:tr>
      <w:tr>
        <w:trPr/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65,7%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37,1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26,2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>
        <w:trPr/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511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Times New Roman" w:hAnsi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en-US" w:eastAsia="en-US"/>
              </w:rPr>
              <w:t>59</w:t>
            </w:r>
          </w:p>
        </w:tc>
      </w:tr>
      <w:tr>
        <w:trPr/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49,4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val="ru-RU" w:eastAsia="en-US"/>
              </w:rPr>
              <w:t>57,4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  <w:lang w:eastAsia="en-US"/>
              </w:rPr>
              <w:t>98,3</w:t>
            </w:r>
          </w:p>
        </w:tc>
      </w:tr>
    </w:tbl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таблицы показал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эффективности участия детей в конкурсах, в сравнении двух последних учебных ле</w:t>
      </w:r>
      <w:r>
        <w:rPr>
          <w:rFonts w:ascii="Times New Roman" w:hAnsi="Times New Roman"/>
          <w:sz w:val="28"/>
          <w:szCs w:val="28"/>
        </w:rPr>
        <w:t>т:</w:t>
      </w:r>
      <w:r>
        <w:rPr>
          <w:rFonts w:ascii="Times New Roman" w:hAnsi="Times New Roman"/>
          <w:sz w:val="28"/>
          <w:szCs w:val="28"/>
        </w:rPr>
        <w:t xml:space="preserve"> на 9,7% на муниципальном и на 58,7% зональном уровнях, что связано с увеличением конкурсов в организациях дополнительного образования на всех уровнях.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Во всех организациях дополнительного образования ведется работа с родителями, которая показана в таблице: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5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040"/>
        <w:gridCol w:w="2040"/>
        <w:gridCol w:w="2040"/>
        <w:gridCol w:w="2218"/>
      </w:tblGrid>
      <w:tr>
        <w:trPr/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Кол-во мероприятий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% посещения от общего числа родителей</w:t>
            </w:r>
          </w:p>
        </w:tc>
      </w:tr>
      <w:tr>
        <w:trPr/>
        <w:tc>
          <w:tcPr>
            <w:tcW w:w="2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2019-20 уч.г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2020-21 уч.г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2019-20 уч.г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2020-21 уч.г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en-US" w:eastAsia="en-US"/>
              </w:rPr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85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38,5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28,3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Массовые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en-US" w:eastAsia="en-US"/>
              </w:rPr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88,4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84,1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en-US" w:eastAsia="en-US"/>
              </w:rPr>
              <w:t>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Таким образом, из таблицы </w:t>
      </w:r>
      <w:r>
        <w:rPr>
          <w:rFonts w:ascii="Times New Roman" w:hAnsi="Times New Roman"/>
          <w:sz w:val="28"/>
          <w:szCs w:val="28"/>
        </w:rPr>
        <w:t>видно</w:t>
      </w:r>
      <w:r>
        <w:rPr>
          <w:rFonts w:ascii="Times New Roman" w:hAnsi="Times New Roman"/>
          <w:sz w:val="28"/>
          <w:szCs w:val="28"/>
        </w:rPr>
        <w:t>, что в 2020-2021 учебном году понизилось количество мероприятий для родителей, тем самым уменьшился процент вовлечения родительской общественности в образовательный процесс организаций дополнительного образования, в связи с эпидемиологической ситуацией в стране.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в ОДО: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048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0"/>
        <w:gridCol w:w="878"/>
        <w:gridCol w:w="874"/>
        <w:gridCol w:w="874"/>
        <w:gridCol w:w="874"/>
        <w:gridCol w:w="874"/>
        <w:gridCol w:w="874"/>
        <w:gridCol w:w="875"/>
        <w:gridCol w:w="873"/>
        <w:gridCol w:w="875"/>
        <w:gridCol w:w="875"/>
        <w:gridCol w:w="872"/>
      </w:tblGrid>
      <w:tr>
        <w:trPr>
          <w:trHeight w:val="2900" w:hRule="atLeast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по роботехнике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Мольберт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машинки, оверлоги и утюги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Систнмный блок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extDirection w:val="btL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</w:tr>
      <w:tr>
        <w:trPr/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Обновление материально-технической базы ведется во всех общеобразовательных организациях дополнительного образования.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В 2020-2021 учебном году приобретены: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48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8"/>
      </w:tblGrid>
      <w:tr>
        <w:trPr/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94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>
        <w:trPr>
          <w:trHeight w:val="2127" w:hRule="atLeast"/>
        </w:trPr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NoSpacing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NoSpacing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NoSpacing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Ксерокс    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NoSpacing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NoSpacing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МФУ 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NoSpacing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мультимедийное оборудование  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NoSpacing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extDirection w:val="btLr"/>
          </w:tcPr>
          <w:p>
            <w:pPr>
              <w:pStyle w:val="NoSpacing"/>
              <w:spacing w:lineRule="auto" w:line="240" w:before="0" w:after="0"/>
              <w:ind w:left="0" w:right="113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Наборы по робототехнике  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extDirection w:val="btLr"/>
          </w:tcPr>
          <w:p>
            <w:pPr>
              <w:pStyle w:val="NoSpacing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другое </w:t>
            </w:r>
          </w:p>
          <w:p>
            <w:pPr>
              <w:pStyle w:val="NoSpacing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(прописать) </w:t>
            </w:r>
          </w:p>
        </w:tc>
      </w:tr>
      <w:tr>
        <w:trPr/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Образовательную деятельность организации дополнительного образования осуществляют на базах своих учреждений и по договору в общеобразовательных организациях: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ЦДТ на базе СОШ № 1 – 1 объединение; СОШ № 8 – 2 объединения; СОШ         № 9 – 5 объединений.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ДДТ ст. Атаманской на базе СОШ № 4 – 4 объединений; СОШ № 5 – 5 объединений; СОШ № 7 – 4 объединения; ООШ № 19 – 1 объединение.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ДДТ ст. Старолеушковской на базе СОШ № 6 – 3 объединений; СОШ № 9 – 2 объединение; СОШ № 11 – 3 объединения; СОШ № 13 – 2 объединение; СОШ № 15 – 2 объединения; СОШ № 16 – 1 объединения; ООШ № 21 – 3 объединения.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ДЮСШ осуществляет образовательную деятельность на базе СОШ № 1, 2, 3, 4, 5, 6, 8, 10, 11, 12, 14, 16, ООШ № 18, </w:t>
      </w:r>
      <w:r>
        <w:rPr>
          <w:rFonts w:cs="Times New Roman" w:ascii="Times New Roman" w:hAnsi="Times New Roman"/>
          <w:sz w:val="28"/>
          <w:szCs w:val="28"/>
        </w:rPr>
        <w:t>ГБОУ школы интернат ст. Старолеушковской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2021-22 учебный год планируется также осуществление образовательной деятельности организаций дополнительного образования на базе школ.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Намечены перспективы развития организаций дополнительного образования на 2021-2022 учебный год на базах: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ЦДТ планируется открытие 2 объединений художественной направленности,               1 - естественно - научной и технической направленностей. Проведение  1 конкурса для педагогов.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ДДТ ст. Атаманской планируется открытие 3 объединений социально — педагогической направленности, 2 — технической и 1 - естественно - научной направленностей. Проведение 1 конкурса для педагогов и 2 конкурса для детей разработанных самостоятельно образовательной организацией.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ДДТ ст. Старолеушковской планируется открытие 2 объединений, сетевое взаимодействие и работа по дистанционной программе. Проведение 3 конкурсов для педагогов и 5 конкурс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для обучающихся, разработанных самостоятельно образовательной организацией;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ДЮСШ не планируется открытие новых групп.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left="0" w:right="0" w:firstLine="708"/>
        <w:jc w:val="both"/>
        <w:rPr/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Таким образом, в организациях дополнительного образования Павловского района </w:t>
      </w:r>
      <w:r>
        <w:rPr>
          <w:rFonts w:ascii="Times New Roman" w:hAnsi="Times New Roman"/>
          <w:sz w:val="28"/>
          <w:szCs w:val="28"/>
        </w:rPr>
        <w:t>наблюдается</w:t>
      </w:r>
      <w:r>
        <w:rPr>
          <w:rFonts w:ascii="Times New Roman" w:hAnsi="Times New Roman"/>
          <w:sz w:val="28"/>
          <w:szCs w:val="28"/>
        </w:rPr>
        <w:t xml:space="preserve"> уменьшени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численности детей охваченных дополнительным образованием, 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увеличился процент охвата детей физкультурно-спортивной направленности. Осуществляется реализация всех направленностей, наибольшее число детей посещают художественную и физкультурно-спортивную направленности, наименьшее - туристско-краеведческую.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Основное число педагогических работников имеют высшее педагогическое образование, но еще имеются педагоги со средним образованием в ЦДТ и ДЮСШ и  ДДТ ст. Старолеушковской.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Организации дополнительного образования продолжают ведение работы по организации аттестации педагогических работников, но 5 педагогов по основному месту работы не имеют квалификационной категории.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 организациях дополнительного образования очень низкий процент молодых педагогов.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Во всех организациях дополнительного образования на протяжении двух последних лет сохраняется низкий уровень участия педагогов в профессиональных конкурсах.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Участие обучающихся в детских конкурсах различных уровней возросло,  эффективность участия в данных конкурсах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повысилась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Во всех организациях дополнительного образования проводи</w:t>
      </w:r>
      <w:r>
        <w:rPr>
          <w:rFonts w:ascii="Times New Roman" w:hAnsi="Times New Roman"/>
          <w:sz w:val="28"/>
          <w:szCs w:val="28"/>
        </w:rPr>
        <w:t>лась</w:t>
      </w:r>
      <w:r>
        <w:rPr>
          <w:rFonts w:ascii="Times New Roman" w:hAnsi="Times New Roman"/>
          <w:sz w:val="28"/>
          <w:szCs w:val="28"/>
        </w:rPr>
        <w:t xml:space="preserve"> работа с родителями, в 2020-21 учебном году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уменьшился</w:t>
      </w:r>
      <w:r>
        <w:rPr>
          <w:rFonts w:ascii="Times New Roman" w:hAnsi="Times New Roman"/>
          <w:sz w:val="28"/>
          <w:szCs w:val="28"/>
        </w:rPr>
        <w:t xml:space="preserve"> процент вовлечения родителей в образовательный процесс, в связи с эпидемиологической ситуацией в стране.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Осуществляется образовательная деятельность на базах всех общеобразовательных организаций, </w:t>
      </w:r>
      <w:r>
        <w:rPr>
          <w:rFonts w:cs="Times New Roman" w:ascii="Times New Roman" w:hAnsi="Times New Roman"/>
          <w:sz w:val="28"/>
          <w:szCs w:val="28"/>
        </w:rPr>
        <w:t>ГБОУ школы интернат ст. Старолеушковской.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В 2019-20 учебном году ЦДТ ст Павловской присвоен статус муниципального опорного центра дополнительного образования детей, что дает возможность более эффективной методической работы.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Намечены перспективы развития дополнительного образования на 2021-2022 учебный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360"/>
        <w:rPr/>
      </w:pPr>
      <w:r>
        <w:rPr>
          <w:rFonts w:ascii="Times New Roman" w:hAnsi="Times New Roman"/>
          <w:b/>
          <w:sz w:val="28"/>
          <w:szCs w:val="28"/>
        </w:rPr>
        <w:t>Задачи 2021-2022 учебный год:</w:t>
      </w:r>
    </w:p>
    <w:p>
      <w:pPr>
        <w:pStyle w:val="Normal"/>
        <w:spacing w:lineRule="auto" w:line="240" w:before="0" w:after="0"/>
        <w:ind w:left="0" w:right="0" w:firstLine="36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продолжить в работ</w:t>
      </w:r>
      <w:r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/>
          <w:sz w:val="28"/>
          <w:szCs w:val="28"/>
        </w:rPr>
        <w:t>повышения квалификационной категории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с привлечение МОЦ, </w:t>
      </w:r>
      <w:r>
        <w:rPr>
          <w:rFonts w:ascii="Times New Roman" w:hAnsi="Times New Roman"/>
          <w:sz w:val="28"/>
          <w:szCs w:val="28"/>
        </w:rPr>
        <w:t>над повышением уровня образования.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работать над привлечением в организации дополнительного образования молодых специалистов;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повысить активность участия педагогов в профессиональных конкурсах;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работать над увеличением охвата детей дополнительным образованием через разработку разноуровневых, востребованных программ по интересам детей;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- вести работу по развитию объединений технической, туристско-краеведческой направленностей;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продолжать вести работу с родительской общественностью, привлекая их к сотрудничеству в воспитании подрастающего поколения;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продолжать сотрудничество с общеобразовательными организациями в осуществлении на базах школ реализации дополнительного образования;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ежегодно </w:t>
      </w:r>
      <w:r>
        <w:rPr>
          <w:rFonts w:ascii="Times New Roman" w:hAnsi="Times New Roman"/>
          <w:sz w:val="28"/>
          <w:szCs w:val="28"/>
        </w:rPr>
        <w:t xml:space="preserve">(по возможности) </w:t>
      </w:r>
      <w:r>
        <w:rPr>
          <w:rFonts w:ascii="Times New Roman" w:hAnsi="Times New Roman"/>
          <w:sz w:val="28"/>
          <w:szCs w:val="28"/>
        </w:rPr>
        <w:t>обновлять материально-техническое оборудование.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Методист МКУО РИМЦ</w:t>
        <w:tab/>
        <w:tab/>
        <w:tab/>
        <w:tab/>
        <w:tab/>
        <w:tab/>
        <w:tab/>
        <w:t xml:space="preserve">             О.А. Ашихина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left="851" w:right="0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>
      <w:type w:val="nextPage"/>
      <w:pgSz w:w="11906" w:h="16838"/>
      <w:pgMar w:left="851" w:right="566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next w:val="Normal"/>
    <w:qFormat/>
    <w:pPr>
      <w:keepNext w:val="true"/>
      <w:spacing w:lineRule="auto" w:line="240" w:before="0" w:after="0"/>
      <w:outlineLvl w:val="2"/>
    </w:pPr>
    <w:rPr>
      <w:rFonts w:ascii="Times New Roman" w:hAnsi="Times New Roman" w:eastAsia="Arial Unicode MS"/>
      <w:sz w:val="28"/>
      <w:szCs w:val="24"/>
    </w:rPr>
  </w:style>
  <w:style w:type="character" w:styleId="DefaultParagraphFont">
    <w:name w:val="Default Paragraph Font"/>
    <w:qFormat/>
    <w:rPr/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Appleconvertedspace">
    <w:name w:val="apple-converted-space"/>
    <w:basedOn w:val="DefaultParagraphFont"/>
    <w:qFormat/>
    <w:rPr/>
  </w:style>
  <w:style w:type="character" w:styleId="Style14">
    <w:name w:val="Текст сноски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31">
    <w:name w:val="Заголовок 3 Знак"/>
    <w:qFormat/>
    <w:rPr>
      <w:rFonts w:ascii="Times New Roman" w:hAnsi="Times New Roman" w:eastAsia="Arial Unicode MS"/>
      <w:sz w:val="28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stylespan">
    <w:name w:val="apple-style-span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A2">
    <w:name w:val="a2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Style21">
    <w:name w:val="Footnote Text"/>
    <w:basedOn w:val="Normal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eastAsia="Calibri"/>
      <w:lang w:eastAsia="en-US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Msonormalbullet2gif">
    <w:name w:val="msonormalbullet2.gif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1">
    <w:name w:val="Нет списка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Application>LibreOffice/6.3.4.2$Windows_x86 LibreOffice_project/60da17e045e08f1793c57c00ba83cdfce946d0aa</Application>
  <Pages>9</Pages>
  <Words>2474</Words>
  <Characters>14564</Characters>
  <CharactersWithSpaces>16396</CharactersWithSpaces>
  <Paragraphs>847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2020-05-30T15:29:00Z</dcterms:created>
  <dc:creator>Алексей</dc:creator>
  <dc:description/>
  <dc:language>ru-RU</dc:language>
  <cp:lastModifiedBy/>
  <cp:lastPrinted>2021-07-01T14:15:55Z</cp:lastPrinted>
  <dcterms:modified xsi:type="dcterms:W3CDTF">2021-07-07T14:36:10Z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