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85"/>
        <w:gridCol w:w="47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5" w:type="dxa"/>
          </w:tcPr>
          <w:p>
            <w:pPr>
              <w:spacing w:after="0" w:line="240" w:lineRule="auto"/>
              <w:rPr>
                <w:sz w:val="24"/>
                <w:szCs w:val="24"/>
              </w:rPr>
            </w:pPr>
          </w:p>
        </w:tc>
        <w:tc>
          <w:tcPr>
            <w:tcW w:w="4786" w:type="dxa"/>
          </w:tcPr>
          <w:p>
            <w:pPr>
              <w:spacing w:after="0" w:line="240" w:lineRule="auto"/>
              <w:rPr>
                <w:sz w:val="24"/>
                <w:szCs w:val="24"/>
              </w:rPr>
            </w:pPr>
          </w:p>
        </w:tc>
      </w:tr>
    </w:tbl>
    <w:p>
      <w:pPr>
        <w:spacing w:after="0"/>
        <w:ind w:left="5103"/>
        <w:jc w:val="center"/>
        <w:rPr>
          <w:rFonts w:ascii="Times New Roman" w:hAnsi="Times New Roman" w:cs="Times New Roman"/>
          <w:sz w:val="28"/>
          <w:szCs w:val="28"/>
        </w:rPr>
      </w:pPr>
      <w:r>
        <w:rPr>
          <w:rFonts w:ascii="Times New Roman" w:hAnsi="Times New Roman" w:cs="Times New Roman"/>
          <w:sz w:val="28"/>
          <w:szCs w:val="28"/>
        </w:rPr>
        <w:t>УТВЕРЖДЕНЫ</w:t>
      </w:r>
    </w:p>
    <w:p>
      <w:pPr>
        <w:spacing w:after="0"/>
        <w:ind w:left="5103"/>
        <w:rPr>
          <w:rFonts w:hint="default" w:ascii="Times New Roman" w:hAnsi="Times New Roman" w:cs="Times New Roman"/>
          <w:sz w:val="28"/>
          <w:szCs w:val="28"/>
          <w:lang w:val="ru-RU"/>
        </w:rPr>
      </w:pPr>
      <w:r>
        <w:rPr>
          <w:rFonts w:ascii="Times New Roman" w:hAnsi="Times New Roman" w:cs="Times New Roman"/>
          <w:sz w:val="28"/>
          <w:szCs w:val="28"/>
        </w:rPr>
        <w:t>приказом МБУК «Кинотеатр Октябрь»</w:t>
      </w:r>
      <w:r>
        <w:rPr>
          <w:rFonts w:hint="default" w:ascii="Times New Roman" w:hAnsi="Times New Roman" w:cs="Times New Roman"/>
          <w:sz w:val="28"/>
          <w:szCs w:val="28"/>
          <w:lang w:val="ru-RU"/>
        </w:rPr>
        <w:t xml:space="preserve"> </w:t>
      </w:r>
      <w:bookmarkStart w:id="0" w:name="_GoBack"/>
      <w:bookmarkEnd w:id="0"/>
      <w:r>
        <w:rPr>
          <w:rFonts w:ascii="Times New Roman" w:hAnsi="Times New Roman" w:cs="Times New Roman"/>
          <w:sz w:val="28"/>
          <w:szCs w:val="28"/>
        </w:rPr>
        <w:t xml:space="preserve">от </w:t>
      </w:r>
      <w:r>
        <w:rPr>
          <w:rFonts w:hint="default" w:ascii="Times New Roman" w:hAnsi="Times New Roman" w:cs="Times New Roman"/>
          <w:sz w:val="28"/>
          <w:szCs w:val="28"/>
          <w:lang w:val="ru-RU"/>
        </w:rPr>
        <w:t>09.06.2020</w:t>
      </w:r>
      <w:r>
        <w:rPr>
          <w:rFonts w:ascii="Times New Roman" w:hAnsi="Times New Roman" w:cs="Times New Roman"/>
          <w:sz w:val="28"/>
          <w:szCs w:val="28"/>
        </w:rPr>
        <w:t xml:space="preserve"> № </w:t>
      </w:r>
      <w:r>
        <w:rPr>
          <w:rFonts w:hint="default" w:ascii="Times New Roman" w:hAnsi="Times New Roman" w:cs="Times New Roman"/>
          <w:sz w:val="28"/>
          <w:szCs w:val="28"/>
          <w:lang w:val="ru-RU"/>
        </w:rPr>
        <w:t>65-пр</w:t>
      </w:r>
    </w:p>
    <w:p>
      <w:pPr>
        <w:rPr>
          <w:sz w:val="28"/>
          <w:szCs w:val="28"/>
        </w:rPr>
      </w:pPr>
    </w:p>
    <w:p>
      <w:pPr>
        <w:rPr>
          <w:sz w:val="28"/>
          <w:szCs w:val="28"/>
        </w:rPr>
      </w:pPr>
    </w:p>
    <w:p>
      <w:pPr>
        <w:spacing w:after="0"/>
        <w:jc w:val="center"/>
        <w:rPr>
          <w:rFonts w:ascii="Times New Roman" w:hAnsi="Times New Roman" w:cs="Times New Roman"/>
          <w:b/>
          <w:sz w:val="28"/>
          <w:szCs w:val="28"/>
        </w:rPr>
      </w:pPr>
      <w:r>
        <w:rPr>
          <w:rFonts w:ascii="Times New Roman" w:hAnsi="Times New Roman" w:cs="Times New Roman"/>
          <w:b/>
          <w:sz w:val="28"/>
          <w:szCs w:val="28"/>
        </w:rPr>
        <w:t>ПРАВИЛА</w:t>
      </w:r>
    </w:p>
    <w:p>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регламентирующие вопросы </w:t>
      </w:r>
    </w:p>
    <w:p>
      <w:pPr>
        <w:spacing w:after="0"/>
        <w:jc w:val="center"/>
        <w:rPr>
          <w:rFonts w:ascii="Times New Roman" w:hAnsi="Times New Roman" w:cs="Times New Roman"/>
          <w:b/>
          <w:sz w:val="28"/>
          <w:szCs w:val="28"/>
        </w:rPr>
      </w:pPr>
      <w:r>
        <w:rPr>
          <w:rFonts w:ascii="Times New Roman" w:hAnsi="Times New Roman" w:cs="Times New Roman"/>
          <w:b/>
          <w:sz w:val="28"/>
          <w:szCs w:val="28"/>
        </w:rPr>
        <w:t>обмена деловыми подарками и знаками делового гостеприимства</w:t>
      </w:r>
    </w:p>
    <w:p>
      <w:pPr>
        <w:spacing w:after="0"/>
        <w:jc w:val="center"/>
        <w:rPr>
          <w:rFonts w:ascii="Times New Roman" w:hAnsi="Times New Roman" w:cs="Times New Roman"/>
          <w:b/>
          <w:sz w:val="28"/>
          <w:szCs w:val="28"/>
        </w:rPr>
      </w:pPr>
      <w:r>
        <w:rPr>
          <w:rFonts w:ascii="Times New Roman" w:hAnsi="Times New Roman" w:cs="Times New Roman"/>
          <w:b/>
          <w:sz w:val="28"/>
          <w:szCs w:val="28"/>
        </w:rPr>
        <w:t>в муниципальном бюджетном учреждении культуры  «Кинотеатр Октябрь»</w:t>
      </w:r>
    </w:p>
    <w:p>
      <w:pPr>
        <w:spacing w:after="0" w:line="240" w:lineRule="auto"/>
        <w:jc w:val="center"/>
        <w:rPr>
          <w:rFonts w:ascii="Times New Roman" w:hAnsi="Times New Roman" w:cs="Times New Roman"/>
          <w:b/>
          <w:sz w:val="28"/>
          <w:szCs w:val="28"/>
        </w:rPr>
      </w:pPr>
    </w:p>
    <w:p>
      <w:pPr>
        <w:spacing w:after="0" w:line="240" w:lineRule="auto"/>
        <w:rPr>
          <w:rFonts w:ascii="Times New Roman" w:hAnsi="Times New Roman" w:cs="Times New Roman"/>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1.1. Правила обмена деловыми подарками и знаками делового гостеприимства в муниципальном бюджетном учреждении культуры «Кинотеатр Октябрь» (далее – Правила) разработаны в соответствии с Федеральным законом от 25 декабря 2008 года № 273-ФЗ «О противодействии коррупции», иными нормативными правовыми актами Российской Федерации, Кодексом этики и служебного поведения работников муниципального бюджетного учреждения «Кинотеатр Октябрь» и основаны на общепризнанных нравственных принципах и нормах российского общества и государства.</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1.2. Правила определяют единые для всех работников в муниципальном бюджетном учреждении культуры «Кинотеатр Октябрь» (далее – работники, Учреждение) требования к дарению и принятию деловых подарков.</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1.3. Учреждение поддерживает корпоративную культуру, в которой деловые подарки, знаки делового гостеприимства и представительские мероприятия рассматриваются работниками Учреждения только как инструмент для установления и поддержания деловых отношений и как проявление общепринятой вежливости в ходе деятельности Учреждения.</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1.4. Учреждение исходит из того, что долговременные деловые отношения, основываются на доверии, взаимном уважении, успехе Учреждения.</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Отношения, при которых нарушается закон и принципы деловой этики, вредят репутации Учреждения и честному имени ее работников и не могут обеспечить устойчивое долговременное развитие Учреждения. Такого рода отношения не могут быть приемлемы в практике работы Учреждения.</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1.5. Действие Правил распространяется на всех работников Учреждения, вне зависимости от уровня занимаемой должности.</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Под термином «работник» в настоящих Правилах понимаются штатные работники с полной или частичной занятостью, вступившие в трудовые отношения с Учреждением, независимо от их должности.</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1.6. Работникам, представляющим интересы Учреждения или действующим от его имени, важно понимать границы допустимого поведения при обмене деловыми подарками и оказании делового гостеприимства.</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1.7. При употреблении в настоящих Правилах терминов, описывающих гостеприимство, «представительские мероприятия», «деловое гостеприимство», «корпоративное гостеприимство» - все положения данных Правил применимы к ним одинаковым образом.</w:t>
      </w:r>
    </w:p>
    <w:p>
      <w:pPr>
        <w:spacing w:after="0"/>
        <w:jc w:val="both"/>
        <w:rPr>
          <w:rFonts w:ascii="Times New Roman" w:hAnsi="Times New Roman" w:cs="Times New Roman"/>
          <w:sz w:val="28"/>
          <w:szCs w:val="28"/>
        </w:rPr>
      </w:pPr>
    </w:p>
    <w:p>
      <w:pPr>
        <w:spacing w:after="0"/>
        <w:jc w:val="center"/>
        <w:rPr>
          <w:rFonts w:ascii="Times New Roman" w:hAnsi="Times New Roman" w:cs="Times New Roman"/>
          <w:b/>
          <w:sz w:val="28"/>
          <w:szCs w:val="28"/>
        </w:rPr>
      </w:pPr>
      <w:r>
        <w:rPr>
          <w:rFonts w:ascii="Times New Roman" w:hAnsi="Times New Roman" w:cs="Times New Roman"/>
          <w:b/>
          <w:sz w:val="28"/>
          <w:szCs w:val="28"/>
        </w:rPr>
        <w:t>2. Цели и намерения</w:t>
      </w:r>
    </w:p>
    <w:p>
      <w:pPr>
        <w:spacing w:after="0"/>
        <w:jc w:val="both"/>
        <w:rPr>
          <w:rFonts w:ascii="Times New Roman" w:hAnsi="Times New Roman" w:cs="Times New Roman"/>
          <w:sz w:val="28"/>
          <w:szCs w:val="28"/>
        </w:rPr>
      </w:pP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2.1. Данные Правила преследуют следующие цели:</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 обеспечение единообразного понимания роли и места деловых подарков, делового гостеприимства, представительских мероприятий в деловой практике Учреждения;</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   осуществление хозяйственной и проносящей доход деятельности Учреждения исключительно на основе надлежащих норм и правил делового поведения, базирующихся на принципах защиты конкуренции, качества работ, услуг, недопущения конфликта интересов;</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    определение единых для всех работников Учреждения требований к дарению и принятию деловых подарков, к организации и участию в представительских мероприятиях;</w:t>
      </w:r>
    </w:p>
    <w:p>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взяточничество, несправедливость по отношению к контрагентам, протекционизм внутри Учреждения.</w:t>
      </w:r>
    </w:p>
    <w:p>
      <w:pPr>
        <w:spacing w:after="0" w:line="240" w:lineRule="auto"/>
        <w:ind w:firstLine="851"/>
        <w:rPr>
          <w:rFonts w:ascii="Times New Roman" w:hAnsi="Times New Roman" w:cs="Times New Roman"/>
          <w:sz w:val="28"/>
          <w:szCs w:val="28"/>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 Правила обмена деловыми подарками и знаками делового гостеприимства</w:t>
      </w:r>
    </w:p>
    <w:p>
      <w:pPr>
        <w:spacing w:after="0" w:line="240" w:lineRule="auto"/>
        <w:jc w:val="center"/>
        <w:rPr>
          <w:rFonts w:ascii="Times New Roman" w:hAnsi="Times New Roman" w:cs="Times New Roman"/>
          <w:b/>
          <w:sz w:val="28"/>
          <w:szCs w:val="28"/>
        </w:rPr>
      </w:pPr>
    </w:p>
    <w:p>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 Работники Учреждения могут получать деловые подарки, знаки делового гостеприимства только на официальных мероприятиях, если это не противоречит требованиям антикоррупционного законодательства Российской Федерации, настоящим Правилам, локальным нормативным актам Учреждения.</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3.2. Подарки и услуги, принимаемые и предоставляемые Учреждением, передаются и принимаются только от имени Учреждения в целом, а не как подарок или передача от отдельного работника Учреждения.</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3.3. При взаимодействии с лицами, занимающими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3.4. Деловые подарки, подлежащие дарению, и знаки делового гостеприимства, которые работники Учреждения от имени Учреждения могут передавать другим лицам и организациям, или принимать от имени Учреждения и других лиц и организаций в связи со своей трудовой деятельностью, а также представительские расходы, в том числе, на деловое гостеприимство и продвижение Учреждения, которые работники Учреждения от имени Учреждения могут нести, должны одновременно соответствовать следующим критериям:</w:t>
      </w:r>
    </w:p>
    <w:p>
      <w:pPr>
        <w:spacing w:after="0"/>
        <w:jc w:val="both"/>
        <w:rPr>
          <w:rFonts w:ascii="Times New Roman" w:hAnsi="Times New Roman" w:cs="Times New Roman"/>
          <w:sz w:val="28"/>
          <w:szCs w:val="28"/>
        </w:rPr>
      </w:pPr>
      <w:r>
        <w:rPr>
          <w:rFonts w:ascii="Times New Roman" w:hAnsi="Times New Roman" w:cs="Times New Roman"/>
          <w:sz w:val="28"/>
          <w:szCs w:val="28"/>
        </w:rPr>
        <w:t>- быть прямо связаны с уставными целями деятельности Учреждения, например, с презентацией или завершением проектов, успешным исполнением контрактов либо с общенациональными праздниками (новый год, 8 марта, 23 февраля, день рождения учреждения, день рождения контактного лица со стороны клиента);</w:t>
      </w:r>
    </w:p>
    <w:p>
      <w:pPr>
        <w:spacing w:after="0"/>
        <w:jc w:val="both"/>
        <w:rPr>
          <w:rFonts w:ascii="Times New Roman" w:hAnsi="Times New Roman" w:cs="Times New Roman"/>
          <w:sz w:val="28"/>
          <w:szCs w:val="28"/>
        </w:rPr>
      </w:pPr>
      <w:r>
        <w:rPr>
          <w:rFonts w:ascii="Times New Roman" w:hAnsi="Times New Roman" w:cs="Times New Roman"/>
          <w:sz w:val="28"/>
          <w:szCs w:val="28"/>
        </w:rPr>
        <w:t>- быть разумно обоснованными, соразмерными и не являться предметами роскоши;</w:t>
      </w:r>
    </w:p>
    <w:p>
      <w:pPr>
        <w:spacing w:after="0"/>
        <w:jc w:val="both"/>
        <w:rPr>
          <w:rFonts w:ascii="Times New Roman" w:hAnsi="Times New Roman" w:cs="Times New Roman"/>
          <w:sz w:val="28"/>
          <w:szCs w:val="28"/>
        </w:rPr>
      </w:pPr>
      <w:r>
        <w:rPr>
          <w:rFonts w:ascii="Times New Roman" w:hAnsi="Times New Roman" w:cs="Times New Roman"/>
          <w:sz w:val="28"/>
          <w:szCs w:val="28"/>
        </w:rPr>
        <w:t>- стоимость подарка не может превышать 3000,00 рублей;</w:t>
      </w:r>
    </w:p>
    <w:p>
      <w:pPr>
        <w:spacing w:after="0"/>
        <w:jc w:val="both"/>
        <w:rPr>
          <w:rFonts w:ascii="Times New Roman" w:hAnsi="Times New Roman" w:cs="Times New Roman"/>
          <w:sz w:val="28"/>
          <w:szCs w:val="28"/>
        </w:rPr>
      </w:pPr>
      <w:r>
        <w:rPr>
          <w:rFonts w:ascii="Times New Roman" w:hAnsi="Times New Roman" w:cs="Times New Roman"/>
          <w:sz w:val="28"/>
          <w:szCs w:val="28"/>
        </w:rPr>
        <w:t>- расходы должны быть согласованы с руководителем Учреждения;</w:t>
      </w:r>
    </w:p>
    <w:p>
      <w:pPr>
        <w:spacing w:after="0"/>
        <w:jc w:val="both"/>
        <w:rPr>
          <w:rFonts w:ascii="Times New Roman" w:hAnsi="Times New Roman" w:cs="Times New Roman"/>
          <w:sz w:val="28"/>
          <w:szCs w:val="28"/>
        </w:rPr>
      </w:pPr>
      <w:r>
        <w:rPr>
          <w:rFonts w:ascii="Times New Roman" w:hAnsi="Times New Roman" w:cs="Times New Roman"/>
          <w:sz w:val="28"/>
          <w:szCs w:val="28"/>
        </w:rPr>
        <w:t>- не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влияние на получателя с иной незаконной или неэтичной целью;</w:t>
      </w:r>
    </w:p>
    <w:p>
      <w:pPr>
        <w:spacing w:after="0"/>
        <w:jc w:val="both"/>
        <w:rPr>
          <w:rFonts w:ascii="Times New Roman" w:hAnsi="Times New Roman" w:cs="Times New Roman"/>
          <w:sz w:val="28"/>
          <w:szCs w:val="28"/>
        </w:rPr>
      </w:pPr>
      <w:r>
        <w:rPr>
          <w:rFonts w:ascii="Times New Roman" w:hAnsi="Times New Roman" w:cs="Times New Roman"/>
          <w:sz w:val="28"/>
          <w:szCs w:val="28"/>
        </w:rPr>
        <w:t>- не создавать для получателя обязательства, связанные с его должностным положением или исполнением им служебных (должностных) обязанностей;</w:t>
      </w:r>
    </w:p>
    <w:p>
      <w:pPr>
        <w:spacing w:after="0"/>
        <w:jc w:val="both"/>
        <w:rPr>
          <w:rFonts w:ascii="Times New Roman" w:hAnsi="Times New Roman" w:cs="Times New Roman"/>
          <w:sz w:val="28"/>
          <w:szCs w:val="28"/>
        </w:rPr>
      </w:pPr>
      <w:r>
        <w:rPr>
          <w:rFonts w:ascii="Times New Roman" w:hAnsi="Times New Roman" w:cs="Times New Roman"/>
          <w:sz w:val="28"/>
          <w:szCs w:val="28"/>
        </w:rPr>
        <w:t>- не создавать репутационного риска для Учреждения, работников и иных лиц в случае раскрытия информации о совершённых подарках и понесенных представительских расходах;</w:t>
      </w:r>
    </w:p>
    <w:p>
      <w:pPr>
        <w:spacing w:after="0"/>
        <w:jc w:val="both"/>
        <w:rPr>
          <w:rFonts w:ascii="Times New Roman" w:hAnsi="Times New Roman" w:cs="Times New Roman"/>
          <w:sz w:val="28"/>
          <w:szCs w:val="28"/>
        </w:rPr>
      </w:pPr>
      <w:r>
        <w:rPr>
          <w:rFonts w:ascii="Times New Roman" w:hAnsi="Times New Roman" w:cs="Times New Roman"/>
          <w:sz w:val="28"/>
          <w:szCs w:val="28"/>
        </w:rPr>
        <w:t>- не противоречить принципам и требованиям антикоррупционного законодательства Российской Федерации, настоящих Правил, антикоррупционной политики Учреждения, кодекса этики и служебного поведения работников Учреждения,  другим локальным актам Учреждения и общепринятым нормам морали и нравственности.</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3.5. Деловые подарки, в том числе в виде оказания услуг, знаков особого внимания и участия в развлекательных и аналогичных мероприятиях не должны ставить принимающую сторону в зависимое положение, приводить к возникновению каких-либо встречных обязательств со стороны получателя или оказывать влияние на объективность его деловых суждений и решений.</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3.6. Для установления и поддержания деловых отношений и как проявление общепринятой вежливости работники Учреждения могут презентовать третьим лицам и получать от них представительские подарки. Под представительскими подарками понимаются сувенирная продукция (в том числе с логотипом Учреждения), цветы, кондитерские изделия и аналогичная продукция.</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3.7. При получении делового подарка или знаков делового гостеприимства работник Учреждения обязан принять меры по недопущению возможности возникновения конфликта интересов в соответствии с Положением о конфликте интересов, утвержденным локальным нормативным актом Учреждения.</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3.8. Права и обязанности работников Учреждения при обмене деловыми подарками и знаками делового гостеприимства.</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3.8.1. Работники, представляя интересы Учреждения или действуя от его имени, должны понимать границы допустимого поведения при обмене деловыми подарками и оказании делового гостеприимства.</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3.8.2. Работники Учреждения вправе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настоящими Правилами.</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3.8.3. Стоимость и периодичность дарения и получения деловых подарков и/или участия в представительских мероприятиях одного и того же третьего лица должны определяться деловой необходимостью и быть разумными. Принимаемые деловые подарки и деловое гостеприимство не должны приводить к возникновению каких - либо встречных обязательств со стороны получателя и/или оказывать влияние на объективность его деловых суждений и решений.</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3.8.4. При любых сомнениях в правомерности или этичности своих действий работники Учреждения обязаны поставить в известность руководителя Учреждения и проконсультироваться с ними, прежде чем дарить или получать подарки или участвовать в тех или иных представительских мероприятиях.</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3.8.5. Работники Учреждения не вправе использовать служебное положение в личных целях, включая использование имущества Учреждения, в том числе:</w:t>
      </w:r>
    </w:p>
    <w:p>
      <w:pPr>
        <w:spacing w:after="0"/>
        <w:jc w:val="both"/>
        <w:rPr>
          <w:rFonts w:ascii="Times New Roman" w:hAnsi="Times New Roman" w:cs="Times New Roman"/>
          <w:sz w:val="28"/>
          <w:szCs w:val="28"/>
        </w:rPr>
      </w:pPr>
      <w:r>
        <w:rPr>
          <w:rFonts w:ascii="Times New Roman" w:hAnsi="Times New Roman" w:cs="Times New Roman"/>
          <w:sz w:val="28"/>
          <w:szCs w:val="28"/>
        </w:rPr>
        <w:t>- для получения подарков, вознаграждения и иных выгод для себя лично и других лиц в обмен на оказание Учреждением каких-либо услуг, осуществления либо неосуществления определенных действий, передачи информации, составляющей коммерческую тайну;</w:t>
      </w:r>
    </w:p>
    <w:p>
      <w:pPr>
        <w:spacing w:after="0"/>
        <w:jc w:val="both"/>
        <w:rPr>
          <w:rFonts w:ascii="Times New Roman" w:hAnsi="Times New Roman" w:cs="Times New Roman"/>
          <w:sz w:val="28"/>
          <w:szCs w:val="28"/>
        </w:rPr>
      </w:pPr>
      <w:r>
        <w:rPr>
          <w:rFonts w:ascii="Times New Roman" w:hAnsi="Times New Roman" w:cs="Times New Roman"/>
          <w:sz w:val="28"/>
          <w:szCs w:val="28"/>
        </w:rPr>
        <w:t>- для получения подарков, вознаграждения и иных выгод для себя лично и других лиц в процессе ведения дел Учреждения, в т. ч. как до, так и после проведения переговоров о заключении гражданско-правовых договоров и иных сделок.</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3.8.6. Работникам Учреждения не рекомендуется принимать или передавать подарки либо услуги в любом виде от третьих лиц в качестве благодарности за совершенную услугу или данный совет.</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3.8.7. Не допускается передавать и принимать подарки от Учреждения, его работников и представителей в виде денежных средств, как наличных, так и безналичных, независимо от валюты, а также в форме акций, опционов или иных ликвидных ценных бумаг.</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3.8.8. Работники Учреждения должны отказываться от предложений, получения подарков, оплаты их расходов и т.п., когда подобные действия могут повлиять или создать впечатление о влиянии на исход сделки, результат проведения торгов, на принимаемые Учреждением решения и т.д.</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3.8.9. Администрация Учреждения не приемлет коррупции. Подарки не должны быть использованы для дачи/получения взяток или коррупции во всех ее проявлениях.</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3.8.10. В качестве подарков работники Учреждения должны стремиться использовать в максимально допустимом количестве случаев сувениры, предметы и изделия, имеющие символику Учреждения.</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3.8.11. Подарки и услуги не должны ставить под сомнение имидж или деловую репутацию Учреждения или ее работника.   Работник Учреждения, получивший деловой подарок, обязан сообщить об этом руководителю Учреждения.</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3.8.12. Работник Учреждения не вправе предлагать третьим лицам или принимать от таковых подарки, выплаты, компенсации и тому подобное, несовместимые с принятой практикой деловых отношений, не отвечающие требованиям хорошего тона, стоимостью выше 3000 (трех тысяч) рублей или не соответствующие закону. Если работнику Учреждения предлагаются подобные подарки или деньги, он обязан немедленно сообщить об этом руководителю Учреждения.</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3.8.13. Работник Учреждения, которому при выполнении должностных обязанностей предлагаются подарки или иное вознаграждение как в прямом, так и в косвенном виде, которые способны повлиять на подготавливаемые и/или принимаемые им решения или оказать влияние на его действия (бездействие), должен:</w:t>
      </w:r>
    </w:p>
    <w:p>
      <w:pPr>
        <w:spacing w:after="0"/>
        <w:jc w:val="both"/>
        <w:rPr>
          <w:rFonts w:ascii="Times New Roman" w:hAnsi="Times New Roman" w:cs="Times New Roman"/>
          <w:sz w:val="28"/>
          <w:szCs w:val="28"/>
        </w:rPr>
      </w:pPr>
      <w:r>
        <w:rPr>
          <w:rFonts w:ascii="Times New Roman" w:hAnsi="Times New Roman" w:cs="Times New Roman"/>
          <w:sz w:val="28"/>
          <w:szCs w:val="28"/>
        </w:rPr>
        <w:t>- отказаться от них и немедленно уведомить своего руководителя Учреждения о факте предложения подарка (вознаграждения);</w:t>
      </w:r>
    </w:p>
    <w:p>
      <w:pPr>
        <w:spacing w:after="0"/>
        <w:jc w:val="both"/>
        <w:rPr>
          <w:rFonts w:ascii="Times New Roman" w:hAnsi="Times New Roman" w:cs="Times New Roman"/>
          <w:sz w:val="28"/>
          <w:szCs w:val="28"/>
        </w:rPr>
      </w:pPr>
      <w:r>
        <w:rPr>
          <w:rFonts w:ascii="Times New Roman" w:hAnsi="Times New Roman" w:cs="Times New Roman"/>
          <w:sz w:val="28"/>
          <w:szCs w:val="28"/>
        </w:rPr>
        <w:t>- по возможности исключить дальнейшие контакты с лицом, предложившим подарок или вознаграждение, если только это не связано со служебной необходимостью;</w:t>
      </w:r>
    </w:p>
    <w:p>
      <w:pPr>
        <w:spacing w:after="0"/>
        <w:jc w:val="both"/>
        <w:rPr>
          <w:rFonts w:ascii="Times New Roman" w:hAnsi="Times New Roman" w:cs="Times New Roman"/>
          <w:sz w:val="28"/>
          <w:szCs w:val="28"/>
        </w:rPr>
      </w:pPr>
      <w:r>
        <w:rPr>
          <w:rFonts w:ascii="Times New Roman" w:hAnsi="Times New Roman" w:cs="Times New Roman"/>
          <w:sz w:val="28"/>
          <w:szCs w:val="28"/>
        </w:rPr>
        <w:t>- в случае, если подарок или вознаграждение не представляется возможным отклонить или возвратить, передать его с соответствующей служебной запиской для принятия соответствующих мер руководителю Учреждения и продолжить работу в установленном в Учреждении порядке над вопросом, с которым был связан подарок или вознаграждение.</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3.9.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должностное лицо Учреждения, ответственное за противодействие коррупции, в соответствии с процедурой раскрытия конфликта интересов, утвержденной локальным нормативным актом организации.</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3.10. Работникам Учреждения запрещается:</w:t>
      </w:r>
    </w:p>
    <w:p>
      <w:pPr>
        <w:spacing w:after="0"/>
        <w:jc w:val="both"/>
        <w:rPr>
          <w:rFonts w:ascii="Times New Roman" w:hAnsi="Times New Roman" w:cs="Times New Roman"/>
          <w:sz w:val="28"/>
          <w:szCs w:val="28"/>
        </w:rPr>
      </w:pPr>
      <w:r>
        <w:rPr>
          <w:rFonts w:ascii="Times New Roman" w:hAnsi="Times New Roman" w:cs="Times New Roman"/>
          <w:sz w:val="28"/>
          <w:szCs w:val="28"/>
        </w:rPr>
        <w:t>- принимать предложения от организаций или третьих лиц о вручении деловых подарков и об оказании знаков делового гостеприимства, деловые подарки и знаки делового гостеприимства в ходе проведения деловых переговоров, при заключении договоров, а также в иных случаях, когда подобные действия могут повлиять или создать впечатление об их влиянии на принимаемые решения;</w:t>
      </w:r>
    </w:p>
    <w:p>
      <w:pPr>
        <w:spacing w:after="0"/>
        <w:jc w:val="both"/>
        <w:rPr>
          <w:rFonts w:ascii="Times New Roman" w:hAnsi="Times New Roman" w:cs="Times New Roman"/>
          <w:sz w:val="28"/>
          <w:szCs w:val="28"/>
        </w:rPr>
      </w:pPr>
      <w:r>
        <w:rPr>
          <w:rFonts w:ascii="Times New Roman" w:hAnsi="Times New Roman" w:cs="Times New Roman"/>
          <w:sz w:val="28"/>
          <w:szCs w:val="28"/>
        </w:rPr>
        <w:t>- принимать деловые подарки и т.д. в ходе проведения торгов и во время прямых переговоров при заключении договоров (контрактов);</w:t>
      </w:r>
    </w:p>
    <w:p>
      <w:pPr>
        <w:spacing w:after="0"/>
        <w:jc w:val="both"/>
        <w:rPr>
          <w:rFonts w:ascii="Times New Roman" w:hAnsi="Times New Roman" w:cs="Times New Roman"/>
          <w:sz w:val="28"/>
          <w:szCs w:val="28"/>
        </w:rPr>
      </w:pPr>
      <w:r>
        <w:rPr>
          <w:rFonts w:ascii="Times New Roman" w:hAnsi="Times New Roman" w:cs="Times New Roman"/>
          <w:sz w:val="28"/>
          <w:szCs w:val="28"/>
        </w:rPr>
        <w:t>- просить, требовать, вынуждать организации или третьих лиц дарить им либо их родственникам деловые подарки и/или оказывать в их пользу знаки делового гостеприимства;</w:t>
      </w:r>
    </w:p>
    <w:p>
      <w:pPr>
        <w:spacing w:after="0"/>
        <w:jc w:val="both"/>
        <w:rPr>
          <w:rFonts w:ascii="Times New Roman" w:hAnsi="Times New Roman" w:cs="Times New Roman"/>
          <w:sz w:val="28"/>
          <w:szCs w:val="28"/>
        </w:rPr>
      </w:pPr>
      <w:r>
        <w:rPr>
          <w:rFonts w:ascii="Times New Roman" w:hAnsi="Times New Roman" w:cs="Times New Roman"/>
          <w:sz w:val="28"/>
          <w:szCs w:val="28"/>
        </w:rPr>
        <w:t>- принимать подарки в форме наличных, безналичных денежных средств, ценных бумаг, драгоценных металлов.</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3.11. В случае осуществления спонсорских, благотворительных программ и мероприятий Учреждение должно предварительно удостовериться, что предоставляемая Учреждением помощь не будет использована в коррупционных целях или иным незаконным путём.</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3.12. Учреждение может принять решение об участии в благотворительных мероприятиях, направленных на создание имиджа Учреждения. При этом бюджет и план участия в мероприятиях согласуются с руководителем Учреждения.</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3.13. Неисполнение настоящих Правил может стать основанием для применения к работнику мер дисциплинарного, административного, уголовного и гражданско-правового характера в соответствии с действующим законодательством.</w:t>
      </w:r>
    </w:p>
    <w:p>
      <w:pPr>
        <w:spacing w:after="0"/>
        <w:jc w:val="both"/>
        <w:rPr>
          <w:rFonts w:ascii="Times New Roman" w:hAnsi="Times New Roman" w:cs="Times New Roman"/>
          <w:sz w:val="28"/>
          <w:szCs w:val="28"/>
        </w:rPr>
      </w:pPr>
    </w:p>
    <w:p>
      <w:pPr>
        <w:spacing w:after="0"/>
        <w:jc w:val="center"/>
        <w:rPr>
          <w:rFonts w:ascii="Times New Roman" w:hAnsi="Times New Roman" w:cs="Times New Roman"/>
          <w:b/>
          <w:sz w:val="28"/>
          <w:szCs w:val="28"/>
        </w:rPr>
      </w:pPr>
      <w:r>
        <w:rPr>
          <w:rFonts w:ascii="Times New Roman" w:hAnsi="Times New Roman" w:cs="Times New Roman"/>
          <w:b/>
          <w:sz w:val="28"/>
          <w:szCs w:val="28"/>
        </w:rPr>
        <w:t>4. Область применения</w:t>
      </w:r>
    </w:p>
    <w:p>
      <w:pPr>
        <w:spacing w:after="0"/>
        <w:jc w:val="both"/>
        <w:rPr>
          <w:rFonts w:ascii="Times New Roman" w:hAnsi="Times New Roman" w:cs="Times New Roman"/>
          <w:sz w:val="28"/>
          <w:szCs w:val="28"/>
        </w:rPr>
      </w:pP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Настоящий Порядок является обязательным для всех и каждого работника Учреждения в период работы в Учреждении.</w:t>
      </w:r>
    </w:p>
    <w:p>
      <w:pPr>
        <w:spacing w:after="0"/>
        <w:ind w:firstLine="851"/>
        <w:jc w:val="both"/>
        <w:rPr>
          <w:rFonts w:ascii="Times New Roman" w:hAnsi="Times New Roman" w:cs="Times New Roman"/>
          <w:sz w:val="28"/>
          <w:szCs w:val="28"/>
        </w:rPr>
      </w:pPr>
      <w:r>
        <w:rPr>
          <w:rFonts w:ascii="Times New Roman" w:hAnsi="Times New Roman" w:cs="Times New Roman"/>
          <w:sz w:val="28"/>
          <w:szCs w:val="28"/>
        </w:rPr>
        <w:t>Настоящий Порядок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pPr>
        <w:spacing w:after="0"/>
        <w:ind w:firstLine="851"/>
        <w:jc w:val="both"/>
        <w:rPr>
          <w:rFonts w:ascii="Times New Roman" w:hAnsi="Times New Roman" w:cs="Times New Roman"/>
          <w:sz w:val="28"/>
          <w:szCs w:val="28"/>
        </w:rPr>
      </w:pPr>
    </w:p>
    <w:p>
      <w:pPr>
        <w:spacing w:after="0"/>
        <w:ind w:firstLine="851"/>
        <w:jc w:val="both"/>
        <w:rPr>
          <w:rFonts w:ascii="Times New Roman" w:hAnsi="Times New Roman" w:cs="Times New Roman"/>
          <w:sz w:val="28"/>
          <w:szCs w:val="28"/>
        </w:rPr>
      </w:pPr>
    </w:p>
    <w:p>
      <w:pPr>
        <w:spacing w:after="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Директор МБУК «Кинотеатр Октябрь»                               Д.Н. Пуховкий</w:t>
      </w:r>
    </w:p>
    <w:sectPr>
      <w:headerReference r:id="rId3" w:type="default"/>
      <w:pgSz w:w="11906" w:h="16838"/>
      <w:pgMar w:top="1134" w:right="567" w:bottom="1134" w:left="1701" w:header="708" w:footer="708"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1774869"/>
      <w:docPartObj>
        <w:docPartGallery w:val="autotext"/>
      </w:docPartObj>
    </w:sdtPr>
    <w:sdtContent>
      <w:p>
        <w:pPr>
          <w:pStyle w:val="3"/>
          <w:jc w:val="center"/>
        </w:pPr>
        <w:r>
          <w:fldChar w:fldCharType="begin"/>
        </w:r>
        <w:r>
          <w:instrText xml:space="preserve">PAGE   \* MERGEFORMAT</w:instrText>
        </w:r>
        <w:r>
          <w:fldChar w:fldCharType="separate"/>
        </w:r>
        <w:r>
          <w:t>7</w:t>
        </w:r>
        <w:r>
          <w:fldChar w:fldCharType="end"/>
        </w:r>
      </w:p>
    </w:sdtContent>
  </w:sdt>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cumentProtection w:enforcement="0"/>
  <w:defaultTabStop w:val="708"/>
  <w:drawingGridHorizontalSpacing w:val="110"/>
  <w:displayHorizontalDrawingGridEvery w:val="2"/>
  <w:characterSpacingControl w:val="doNotCompress"/>
  <w:compat>
    <w:compatSetting w:name="compatibilityMode" w:uri="http://schemas.microsoft.com/office/word" w:val="12"/>
  </w:compat>
  <w:rsids>
    <w:rsidRoot w:val="00046D2A"/>
    <w:rsid w:val="00012DB5"/>
    <w:rsid w:val="00041B50"/>
    <w:rsid w:val="00046D2A"/>
    <w:rsid w:val="0008027E"/>
    <w:rsid w:val="001052BC"/>
    <w:rsid w:val="001A704B"/>
    <w:rsid w:val="002472CE"/>
    <w:rsid w:val="00295D29"/>
    <w:rsid w:val="00356F0E"/>
    <w:rsid w:val="004133A8"/>
    <w:rsid w:val="00541975"/>
    <w:rsid w:val="005567B5"/>
    <w:rsid w:val="00572DF6"/>
    <w:rsid w:val="005B585E"/>
    <w:rsid w:val="005F3CCF"/>
    <w:rsid w:val="00634ED7"/>
    <w:rsid w:val="006A042D"/>
    <w:rsid w:val="006B6BF4"/>
    <w:rsid w:val="006D5438"/>
    <w:rsid w:val="00730B03"/>
    <w:rsid w:val="007442FB"/>
    <w:rsid w:val="007D0A63"/>
    <w:rsid w:val="009B5AA8"/>
    <w:rsid w:val="00A41E0B"/>
    <w:rsid w:val="00C515EF"/>
    <w:rsid w:val="00D651E5"/>
    <w:rsid w:val="00D847DF"/>
    <w:rsid w:val="00FC62C6"/>
    <w:rsid w:val="2BC9471D"/>
    <w:rsid w:val="54E51CF5"/>
    <w:rsid w:val="556B67DA"/>
    <w:rsid w:val="58B751FC"/>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uiPriority w:val="99"/>
    <w:pPr>
      <w:spacing w:after="0" w:line="240" w:lineRule="auto"/>
    </w:pPr>
    <w:rPr>
      <w:rFonts w:ascii="Tahoma" w:hAnsi="Tahoma" w:cs="Tahoma"/>
      <w:sz w:val="16"/>
      <w:szCs w:val="16"/>
    </w:rPr>
  </w:style>
  <w:style w:type="paragraph" w:styleId="3">
    <w:name w:val="header"/>
    <w:basedOn w:val="1"/>
    <w:link w:val="9"/>
    <w:unhideWhenUsed/>
    <w:qFormat/>
    <w:uiPriority w:val="99"/>
    <w:pPr>
      <w:tabs>
        <w:tab w:val="center" w:pos="4677"/>
        <w:tab w:val="right" w:pos="9355"/>
      </w:tabs>
      <w:spacing w:after="0" w:line="240" w:lineRule="auto"/>
    </w:pPr>
  </w:style>
  <w:style w:type="paragraph" w:styleId="4">
    <w:name w:val="footer"/>
    <w:basedOn w:val="1"/>
    <w:link w:val="10"/>
    <w:unhideWhenUsed/>
    <w:qFormat/>
    <w:uiPriority w:val="99"/>
    <w:pPr>
      <w:tabs>
        <w:tab w:val="center" w:pos="4677"/>
        <w:tab w:val="right" w:pos="9355"/>
      </w:tabs>
      <w:spacing w:after="0" w:line="240" w:lineRule="auto"/>
    </w:pPr>
  </w:style>
  <w:style w:type="table" w:styleId="7">
    <w:name w:val="Table Grid"/>
    <w:basedOn w:val="6"/>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Текст выноски Знак"/>
    <w:basedOn w:val="5"/>
    <w:link w:val="2"/>
    <w:semiHidden/>
    <w:qFormat/>
    <w:uiPriority w:val="99"/>
    <w:rPr>
      <w:rFonts w:ascii="Tahoma" w:hAnsi="Tahoma" w:cs="Tahoma"/>
      <w:sz w:val="16"/>
      <w:szCs w:val="16"/>
    </w:rPr>
  </w:style>
  <w:style w:type="character" w:customStyle="1" w:styleId="9">
    <w:name w:val="Верхний колонтитул Знак"/>
    <w:basedOn w:val="5"/>
    <w:link w:val="3"/>
    <w:qFormat/>
    <w:uiPriority w:val="99"/>
  </w:style>
  <w:style w:type="character" w:customStyle="1" w:styleId="10">
    <w:name w:val="Нижний колонтитул Знак"/>
    <w:basedOn w:val="5"/>
    <w:link w:val="4"/>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7</Pages>
  <Words>2032</Words>
  <Characters>11589</Characters>
  <Lines>96</Lines>
  <Paragraphs>27</Paragraphs>
  <TotalTime>72</TotalTime>
  <ScaleCrop>false</ScaleCrop>
  <LinksUpToDate>false</LinksUpToDate>
  <CharactersWithSpaces>13594</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2020-04-28T11:10:00Z</dcterms:created>
  <dc:creator>11</dc:creator>
  <cp:lastModifiedBy>Administrator</cp:lastModifiedBy>
  <cp:lastPrinted>2020-06-29T14:12:00Z</cp:lastPrinted>
  <dcterms:modified xsi:type="dcterms:W3CDTF">2020-07-23T05:44:03Z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1049-11.2.0.9453</vt:lpwstr>
  </property>
</Properties>
</file>