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BA" w:rsidRDefault="006B13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A45BA" w:rsidRDefault="003A45BA">
      <w:pPr>
        <w:spacing w:after="0"/>
        <w:rPr>
          <w:rFonts w:ascii="Times New Roman" w:hAnsi="Times New Roman" w:cs="Times New Roman"/>
          <w:sz w:val="28"/>
        </w:rPr>
      </w:pPr>
    </w:p>
    <w:p w:rsidR="003A45BA" w:rsidRDefault="003A45B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A45BA" w:rsidRDefault="003A45B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3A45BA" w:rsidRDefault="006B13F3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3A45BA" w:rsidRDefault="006B13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получить кадастровый план территории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3A45BA" w:rsidRDefault="006B13F3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Узнать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сведения о множестве участков, расположенных в одном квартале, можно, запросив выписку из ЕГРН в виде кадастрового плана территории. Кадастровая палата по Краснодарскому краю разъясняет, что такое кадастровый план территории, кому он может понадобиться, а</w:t>
      </w:r>
      <w:r>
        <w:rPr>
          <w:rFonts w:ascii="Times New Roman" w:hAnsi="Times New Roman" w:cs="Times New Roman"/>
          <w:b/>
          <w:sz w:val="28"/>
        </w:rPr>
        <w:t xml:space="preserve"> также как его получить.</w:t>
      </w:r>
    </w:p>
    <w:p w:rsidR="003A45BA" w:rsidRDefault="006B13F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Кадастровый план территории (КПТ) – это одна из форм выписки из Единого государственного реестра недвижимости (ЕГРН). В КПТ содержатся сведения об объектах недвижимости, расположенных в определенном кадастровом квартале. При этом К</w:t>
      </w:r>
      <w:r>
        <w:rPr>
          <w:rFonts w:ascii="Times New Roman" w:hAnsi="Times New Roman" w:cs="Times New Roman"/>
          <w:bCs/>
          <w:sz w:val="28"/>
        </w:rPr>
        <w:t>ПТ может быть подготовлен как на весь квартал, так и на территорию в пределах кадастрового квартала.</w:t>
      </w:r>
    </w:p>
    <w:p w:rsidR="003A45BA" w:rsidRDefault="006B13F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Кадастровый план территории может запросить любой желающий, однако такая форма выписки нужна только в определенных ситуациях. Чаще всего КПТ запрашивают ка</w:t>
      </w:r>
      <w:r>
        <w:rPr>
          <w:rFonts w:ascii="Times New Roman" w:hAnsi="Times New Roman" w:cs="Times New Roman"/>
          <w:bCs/>
          <w:sz w:val="28"/>
        </w:rPr>
        <w:t>дастровые инженеры, поскольку именно они проводят кадастровые работы, составляют межевой план, карта-план территории, а также готовят документы для постановки на государственный кадастровый учет земельных участков. КПТ может понадобиться при проектировке с</w:t>
      </w:r>
      <w:r>
        <w:rPr>
          <w:rFonts w:ascii="Times New Roman" w:hAnsi="Times New Roman" w:cs="Times New Roman"/>
          <w:bCs/>
          <w:sz w:val="28"/>
        </w:rPr>
        <w:t>троительства и реконструкции территории. Если возникает необходимость иметь представление об определенной территории, сразу о нескольких участках, удобнее будет запросить КПТ, чем заказывать выписки на множество участков. Правообладателю земельного участка</w:t>
      </w:r>
      <w:r>
        <w:rPr>
          <w:rFonts w:ascii="Times New Roman" w:hAnsi="Times New Roman" w:cs="Times New Roman"/>
          <w:bCs/>
          <w:sz w:val="28"/>
        </w:rPr>
        <w:t xml:space="preserve"> может понадобиться КПТ, если для проведения коммуникаций, например газопроводной трубы, необходимо установить сервитут на нескольких соседних участках, чтобы проложить коммуникации через их территорию.</w:t>
      </w:r>
    </w:p>
    <w:p w:rsidR="003A45BA" w:rsidRDefault="006B13F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Форма выписки из ЕГРН в виде Кадастрового плана терри</w:t>
      </w:r>
      <w:r>
        <w:rPr>
          <w:rFonts w:ascii="Times New Roman" w:hAnsi="Times New Roman" w:cs="Times New Roman"/>
          <w:bCs/>
          <w:sz w:val="28"/>
        </w:rPr>
        <w:t xml:space="preserve">тории установлена приказом Росреестра от 04.09.2020 №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П/0329</w:t>
        </w:r>
      </w:hyperlink>
      <w:r>
        <w:rPr>
          <w:rFonts w:ascii="Times New Roman" w:hAnsi="Times New Roman" w:cs="Times New Roman"/>
          <w:bCs/>
          <w:sz w:val="28"/>
        </w:rPr>
        <w:t xml:space="preserve"> и может содержать до 12 разделов. Однако в КПТ могут быть включены не все разделы, это зависит от сведений, которые содержатся</w:t>
      </w:r>
      <w:r>
        <w:rPr>
          <w:rFonts w:ascii="Times New Roman" w:hAnsi="Times New Roman" w:cs="Times New Roman"/>
          <w:bCs/>
          <w:sz w:val="28"/>
        </w:rPr>
        <w:t xml:space="preserve"> в ЕГРН в отношении соответствующего квартала.</w:t>
      </w:r>
    </w:p>
    <w:p w:rsidR="003A45BA" w:rsidRDefault="006B13F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Текстовая часть КПТ включает:</w:t>
      </w:r>
    </w:p>
    <w:p w:rsidR="003A45BA" w:rsidRDefault="006B13F3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сведения обо всех учтенных объектах, расположенных в кадастровом квартале: кадастровый номер, адрес, площадь, категорию земель, вид разрешенного использования, назначение, кадастр</w:t>
      </w:r>
      <w:r>
        <w:rPr>
          <w:rFonts w:ascii="Times New Roman" w:hAnsi="Times New Roman" w:cs="Times New Roman"/>
          <w:bCs/>
          <w:sz w:val="28"/>
        </w:rPr>
        <w:t>овую стоимость;</w:t>
      </w:r>
    </w:p>
    <w:p w:rsidR="003A45BA" w:rsidRDefault="006B13F3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описание местоположения границ земельных участков в кадастровом квартале, зданий, сооружений, объектов незавершенного строительства на земельном участке, населенных пунктов; муниципальных образований, субъектов РФ, зон с особыми условиями и</w:t>
      </w:r>
      <w:r>
        <w:rPr>
          <w:rFonts w:ascii="Times New Roman" w:hAnsi="Times New Roman" w:cs="Times New Roman"/>
          <w:bCs/>
          <w:sz w:val="28"/>
        </w:rPr>
        <w:t>спользования территории;</w:t>
      </w:r>
    </w:p>
    <w:p w:rsidR="003A45BA" w:rsidRDefault="006B13F3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сведения о пунктах опорной межевой сети с указанием номера пункта, его названия или номера, класса опорной межевой сети и координат.</w:t>
      </w:r>
    </w:p>
    <w:p w:rsidR="003A45BA" w:rsidRDefault="006B13F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графической части КПТ содержит план (чертеж, схему) объектов недвижимости, а также план (чертеж,</w:t>
      </w:r>
      <w:r>
        <w:rPr>
          <w:rFonts w:ascii="Times New Roman" w:hAnsi="Times New Roman" w:cs="Times New Roman"/>
          <w:bCs/>
          <w:sz w:val="28"/>
        </w:rPr>
        <w:t xml:space="preserve"> схему) границ между субъектами Российской Федерации, границ муниципальных образований, населенных пунктов и территориальных зон, расположенных в соответствующем кадастровом квартале.</w:t>
      </w:r>
    </w:p>
    <w:p w:rsidR="003A45BA" w:rsidRDefault="006B13F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Обратите внимание, в КПТ не содержатся сведения о зарегистрированных </w:t>
      </w:r>
      <w:r>
        <w:rPr>
          <w:rFonts w:ascii="Times New Roman" w:hAnsi="Times New Roman" w:cs="Times New Roman"/>
          <w:bCs/>
          <w:sz w:val="28"/>
        </w:rPr>
        <w:t>правах на объекты недвижимости.</w:t>
      </w:r>
    </w:p>
    <w:p w:rsidR="003A45BA" w:rsidRDefault="006B13F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Чтобы получить кадастровый план территории, необходимо подать запрос о предоставлении сведений из ЕГРН любым удобным способом:</w:t>
      </w:r>
    </w:p>
    <w:p w:rsidR="003A45BA" w:rsidRDefault="006B13F3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бумажном виде, обратившись лично в любой офис МФЦ;</w:t>
      </w:r>
    </w:p>
    <w:p w:rsidR="003A45BA" w:rsidRDefault="006B13F3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электронной форме на сайте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(rosreestr.gov.ru) в «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Личном кабинете</w:t>
        </w:r>
      </w:hyperlink>
      <w:r>
        <w:rPr>
          <w:rFonts w:ascii="Times New Roman" w:hAnsi="Times New Roman" w:cs="Times New Roman"/>
          <w:bCs/>
          <w:sz w:val="28"/>
        </w:rPr>
        <w:t>».</w:t>
      </w:r>
    </w:p>
    <w:p w:rsidR="003A45BA" w:rsidRDefault="006B13F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в бумажном формате КПТ можно заказать не выходя из дома. В рамках </w:t>
      </w:r>
      <w:hyperlink r:id="rId12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выездного обслуживания</w:t>
        </w:r>
      </w:hyperlink>
      <w:r>
        <w:rPr>
          <w:rFonts w:ascii="Times New Roman" w:hAnsi="Times New Roman" w:cs="Times New Roman"/>
          <w:bCs/>
          <w:sz w:val="28"/>
        </w:rPr>
        <w:t xml:space="preserve"> специалисты Кадастровой палаты приедут в любое удобное для заявителя место и время. Заказать услугу можно по телефону 8 (861) </w:t>
      </w:r>
      <w:r>
        <w:rPr>
          <w:rFonts w:ascii="Times New Roman" w:hAnsi="Times New Roman" w:cs="Times New Roman"/>
          <w:bCs/>
          <w:sz w:val="28"/>
        </w:rPr>
        <w:lastRenderedPageBreak/>
        <w:t xml:space="preserve">992-13-02, (доб. 2060 или 2061), по электронной почте </w:t>
      </w:r>
      <w:hyperlink r:id="rId13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uslugi-pay@23.kadastr.ru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, либо через онлайн сервис Кадастровой палаты </w:t>
      </w:r>
      <w:hyperlink r:id="rId14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svo.kadastr.ru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u w:val="single"/>
        </w:rPr>
        <w:t>.</w:t>
      </w:r>
    </w:p>
    <w:p w:rsidR="003A45BA" w:rsidRDefault="006B13F3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3A45BA" w:rsidRDefault="006B13F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вой палаты по Краснодарскому краю</w:t>
      </w:r>
    </w:p>
    <w:p w:rsidR="003A45BA" w:rsidRDefault="003A45BA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3A45BA">
        <w:trPr>
          <w:jc w:val="center"/>
        </w:trPr>
        <w:tc>
          <w:tcPr>
            <w:tcW w:w="775" w:type="dxa"/>
            <w:hideMark/>
          </w:tcPr>
          <w:p w:rsidR="003A45BA" w:rsidRDefault="006B13F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A45BA" w:rsidRDefault="003A45B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6B13F3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3A45BA" w:rsidRDefault="006B13F3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A45BA" w:rsidRDefault="006B13F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3A45BA">
        <w:trPr>
          <w:jc w:val="center"/>
        </w:trPr>
        <w:tc>
          <w:tcPr>
            <w:tcW w:w="775" w:type="dxa"/>
            <w:hideMark/>
          </w:tcPr>
          <w:p w:rsidR="003A45BA" w:rsidRDefault="006B13F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A45BA" w:rsidRDefault="006B13F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3A45BA" w:rsidRDefault="006B13F3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A45BA" w:rsidRDefault="006B13F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3A45BA" w:rsidRDefault="003A45BA">
      <w:pPr>
        <w:spacing w:after="120" w:line="360" w:lineRule="auto"/>
        <w:ind w:firstLine="709"/>
        <w:jc w:val="both"/>
      </w:pPr>
    </w:p>
    <w:sectPr w:rsidR="003A45BA" w:rsidSect="003A45BA">
      <w:footerReference w:type="default" r:id="rId20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3F3" w:rsidRDefault="006B13F3">
      <w:pPr>
        <w:spacing w:after="0" w:line="240" w:lineRule="auto"/>
      </w:pPr>
      <w:r>
        <w:separator/>
      </w:r>
    </w:p>
  </w:endnote>
  <w:endnote w:type="continuationSeparator" w:id="0">
    <w:p w:rsidR="006B13F3" w:rsidRDefault="006B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BA" w:rsidRDefault="006B13F3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3A45BA" w:rsidRDefault="006B13F3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3F3" w:rsidRDefault="006B13F3">
      <w:pPr>
        <w:spacing w:after="0" w:line="240" w:lineRule="auto"/>
      </w:pPr>
      <w:r>
        <w:separator/>
      </w:r>
    </w:p>
  </w:footnote>
  <w:footnote w:type="continuationSeparator" w:id="0">
    <w:p w:rsidR="006B13F3" w:rsidRDefault="006B1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3B3783"/>
    <w:multiLevelType w:val="hybridMultilevel"/>
    <w:tmpl w:val="0AAE26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A45BA"/>
    <w:rsid w:val="00106B32"/>
    <w:rsid w:val="003A45BA"/>
    <w:rsid w:val="006B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5B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A45B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A45B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A45B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A45B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A45B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A4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5B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A45B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A45BA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3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45BA"/>
  </w:style>
  <w:style w:type="paragraph" w:styleId="af">
    <w:name w:val="footer"/>
    <w:basedOn w:val="a"/>
    <w:link w:val="af0"/>
    <w:uiPriority w:val="99"/>
    <w:unhideWhenUsed/>
    <w:rsid w:val="003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45BA"/>
  </w:style>
  <w:style w:type="table" w:styleId="af1">
    <w:name w:val="Table Grid"/>
    <w:basedOn w:val="a1"/>
    <w:uiPriority w:val="39"/>
    <w:rsid w:val="003A4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slugi-pay@23.kadastr.ru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adastr.ru/services/vyezdnoe-obsluzhivanie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press23@23.kadastr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.rosreestr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rosreestr.gov.ru/site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62393/" TargetMode="External"/><Relationship Id="rId14" Type="http://schemas.openxmlformats.org/officeDocument/2006/relationships/hyperlink" Target="https://svo.kadast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DC030-17CD-449F-B322-7CCA5051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RePack by SPecialiST</cp:lastModifiedBy>
  <cp:revision>2</cp:revision>
  <dcterms:created xsi:type="dcterms:W3CDTF">2022-03-25T11:32:00Z</dcterms:created>
  <dcterms:modified xsi:type="dcterms:W3CDTF">2022-03-25T11:32:00Z</dcterms:modified>
</cp:coreProperties>
</file>