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6B6" w:rsidRDefault="00B54A12">
      <w:pPr>
        <w:pStyle w:val="ac"/>
        <w:widowControl w:val="0"/>
        <w:tabs>
          <w:tab w:val="left" w:pos="709"/>
        </w:tabs>
        <w:spacing w:line="360" w:lineRule="auto"/>
        <w:contextualSpacing/>
        <w:jc w:val="right"/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479425</wp:posOffset>
            </wp:positionH>
            <wp:positionV relativeFrom="page">
              <wp:posOffset>483870</wp:posOffset>
            </wp:positionV>
            <wp:extent cx="2689860" cy="1104900"/>
            <wp:effectExtent l="19050" t="0" r="0" b="0"/>
            <wp:wrapSquare wrapText="bothSides"/>
            <wp:docPr id="2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0231" t="20090" r="9901" b="196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66B6" w:rsidRDefault="007B66B6">
      <w:pPr>
        <w:pStyle w:val="ac"/>
        <w:widowControl w:val="0"/>
        <w:tabs>
          <w:tab w:val="left" w:pos="709"/>
        </w:tabs>
        <w:spacing w:line="360" w:lineRule="auto"/>
        <w:contextualSpacing/>
        <w:jc w:val="right"/>
        <w:rPr>
          <w:b/>
          <w:szCs w:val="24"/>
        </w:rPr>
      </w:pPr>
    </w:p>
    <w:p w:rsidR="007B66B6" w:rsidRDefault="00B54A12">
      <w:pPr>
        <w:pStyle w:val="ac"/>
        <w:widowControl w:val="0"/>
        <w:tabs>
          <w:tab w:val="left" w:pos="709"/>
        </w:tabs>
        <w:spacing w:line="360" w:lineRule="auto"/>
        <w:contextualSpacing/>
        <w:jc w:val="right"/>
        <w:rPr>
          <w:b/>
          <w:szCs w:val="24"/>
        </w:rPr>
      </w:pPr>
      <w:r>
        <w:rPr>
          <w:b/>
          <w:szCs w:val="24"/>
        </w:rPr>
        <w:t>ПРЕСС-РЕЛИЗ</w:t>
      </w:r>
    </w:p>
    <w:p w:rsidR="007B66B6" w:rsidRDefault="007B66B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highlight w:val="yellow"/>
        </w:rPr>
      </w:pPr>
    </w:p>
    <w:p w:rsidR="007B66B6" w:rsidRDefault="007B66B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4"/>
          <w:highlight w:val="yellow"/>
        </w:rPr>
      </w:pPr>
    </w:p>
    <w:p w:rsidR="007B66B6" w:rsidRDefault="00B54A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E515A">
        <w:rPr>
          <w:rFonts w:ascii="Times New Roman" w:hAnsi="Times New Roman"/>
          <w:b/>
          <w:sz w:val="28"/>
          <w:szCs w:val="24"/>
        </w:rPr>
        <w:t>Ранее возникшее право, не внесенное в ЕГРН, может стать преградой в проведении сделок с недвижимостью</w:t>
      </w:r>
    </w:p>
    <w:p w:rsidR="007B66B6" w:rsidRDefault="007B66B6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B66B6" w:rsidRDefault="00B54A1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Законом о регистрации недвижимости с </w:t>
      </w:r>
      <w:r>
        <w:rPr>
          <w:rFonts w:ascii="Times New Roman" w:hAnsi="Times New Roman" w:cs="Times New Roman"/>
          <w:sz w:val="28"/>
          <w:szCs w:val="28"/>
        </w:rPr>
        <w:t xml:space="preserve">29.06.2021 введена обязательная государственная регистрация прав на ранее учтенные объекты недвижимости при внесении сведений о таких объектах недвижимости как о ранее учтенных в </w:t>
      </w:r>
      <w:r>
        <w:rPr>
          <w:rFonts w:ascii="Times New Roman" w:eastAsia="Times New Roman" w:hAnsi="Times New Roman" w:cs="Times New Roman"/>
          <w:sz w:val="28"/>
          <w:szCs w:val="28"/>
        </w:rPr>
        <w:t>Единый государственный реестр недвижимости (ЕГРН).</w:t>
      </w:r>
      <w:proofErr w:type="gramEnd"/>
    </w:p>
    <w:p w:rsidR="007B66B6" w:rsidRDefault="00B54A12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Напомним, какие объекты капитального строительства относятся к ранее учтенным </w:t>
      </w:r>
      <w:r>
        <w:rPr>
          <w:rFonts w:ascii="Times New Roman" w:hAnsi="Times New Roman" w:cs="Times New Roman"/>
          <w:sz w:val="28"/>
          <w:szCs w:val="28"/>
        </w:rPr>
        <w:t>объектам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B66B6" w:rsidRDefault="00B54A12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ранее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учтенными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зданиям, помещениям, сооружениям и объектам незавершенного строительства относятся объекты недвижимости, в отношении которых имеются документы, устанавливающие или подтверждающие право на них, выданные до 31.01.1998 (до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вступления в силу Федерального закона от 21 июля 1997 года № </w:t>
      </w:r>
      <w:hyperlink r:id="rId9" w:history="1">
        <w:r>
          <w:rPr>
            <w:rStyle w:val="a4"/>
            <w:rFonts w:ascii="Times New Roman" w:eastAsia="Times New Roman" w:hAnsi="Times New Roman" w:cs="Times New Roman"/>
            <w:sz w:val="28"/>
            <w:szCs w:val="28"/>
          </w:rPr>
          <w:t>122-ФЗ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«О государственной регистрации прав на недвижимое имущество и сделок с ним»).</w:t>
      </w:r>
    </w:p>
    <w:p w:rsidR="007B66B6" w:rsidRDefault="00B54A12">
      <w:pPr>
        <w:pStyle w:val="a3"/>
        <w:numPr>
          <w:ilvl w:val="0"/>
          <w:numId w:val="8"/>
        </w:numPr>
        <w:tabs>
          <w:tab w:val="left" w:pos="709"/>
          <w:tab w:val="left" w:pos="993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подтверждением ранее осуществленного учета объекта капитального строительства, а именно технического учета, является технический паспорт, подготовленный органом технической инвентаризации до 01.01.2013.</w:t>
      </w:r>
    </w:p>
    <w:p w:rsidR="007B66B6" w:rsidRDefault="00B54A12">
      <w:pPr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этом нововведение распространяется на ранее учтенные объекты недвижимости, сведения о которых вносятся в ЕГРН на основании правоустанавливающих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:rsidR="007B66B6" w:rsidRDefault="00B54A12">
      <w:pPr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Как осуществляется внесение в ЕГРН сведений о ранее учтенных объектах недвижимости?</w:t>
      </w:r>
    </w:p>
    <w:p w:rsidR="007B66B6" w:rsidRDefault="00B54A12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подается заинтересованным лицом в многофункциональном центре, эта услуга бесплатна как для граждан, так и для юридических лиц.</w:t>
      </w:r>
    </w:p>
    <w:p w:rsidR="007B66B6" w:rsidRDefault="00B54A12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К заявлению необходимо приложить документы, подтверждающие наличие ранее возникших прав. К таким документам относятся, например, свидетельство о праве на наследство, регистрационное удостоверение органа технической инвентаризации (БТИ), договор купли-продажи, зарегистрированный в БТИ или местном органе власти, и другие подобные документы, выданные </w:t>
      </w:r>
      <w:r>
        <w:rPr>
          <w:rFonts w:ascii="Times New Roman" w:hAnsi="Times New Roman" w:cs="Times New Roman"/>
          <w:sz w:val="28"/>
          <w:szCs w:val="28"/>
        </w:rPr>
        <w:t>до 31.01.1998.</w:t>
      </w:r>
    </w:p>
    <w:p w:rsidR="007B66B6" w:rsidRDefault="00B54A12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сли с заявлением о внесении сведений о ранее учтенном объекте недвижимости обратился правообладатель объекта недвижимости, представив документ,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подтверждающий наличие ранее возникшего права (</w:t>
      </w:r>
      <w:r>
        <w:rPr>
          <w:rFonts w:ascii="Times New Roman" w:hAnsi="Times New Roman" w:cs="Times New Roman"/>
          <w:sz w:val="28"/>
          <w:szCs w:val="28"/>
        </w:rPr>
        <w:t>выданный до 31.01.1998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то в таком случае </w:t>
      </w:r>
      <w:r>
        <w:rPr>
          <w:rFonts w:ascii="Times New Roman" w:hAnsi="Times New Roman" w:cs="Times New Roman"/>
          <w:sz w:val="28"/>
          <w:szCs w:val="28"/>
        </w:rPr>
        <w:t>обязательна государственная регистрация права на объект недвижимости, заявление о государственной регистрации права подается одновременно с заявлением о внесении сведений о ранее учтенном объекте недвижимости в ЕГРН.</w:t>
      </w:r>
      <w:proofErr w:type="gramEnd"/>
    </w:p>
    <w:p w:rsidR="007B66B6" w:rsidRDefault="00B54A12">
      <w:pPr>
        <w:pStyle w:val="a3"/>
        <w:tabs>
          <w:tab w:val="left" w:pos="0"/>
        </w:tabs>
        <w:autoSpaceDE w:val="0"/>
        <w:autoSpaceDN w:val="0"/>
        <w:adjustRightInd w:val="0"/>
        <w:spacing w:after="0" w:line="36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этом случае законодательство освободило от уплаты г</w:t>
      </w:r>
      <w:r>
        <w:rPr>
          <w:rFonts w:ascii="Times New Roman" w:eastAsia="Times New Roman" w:hAnsi="Times New Roman" w:cs="Times New Roman"/>
          <w:sz w:val="28"/>
          <w:szCs w:val="28"/>
        </w:rPr>
        <w:t>осударственной пошлины за государственную регистрацию ранее возникшего права на объект недвижимости. Эта процедура является абсолютно бесплатной и позволит правообладателю внести в ЕГРН сведения об объекте недвижимости и правах не него.</w:t>
      </w:r>
    </w:p>
    <w:p w:rsidR="007B66B6" w:rsidRDefault="00B54A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pacing w:val="6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этом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правоустанавливающие документы с заявлением не представлены или в представленном документе не указана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площадь для здания или помещения, либо </w:t>
      </w:r>
      <w:r>
        <w:rPr>
          <w:rFonts w:ascii="Times New Roman" w:hAnsi="Times New Roman"/>
          <w:sz w:val="28"/>
          <w:szCs w:val="28"/>
        </w:rPr>
        <w:t xml:space="preserve">не указана </w:t>
      </w:r>
      <w:r>
        <w:rPr>
          <w:rFonts w:ascii="Times New Roman" w:eastAsia="Times New Roman" w:hAnsi="Times New Roman" w:cs="Times New Roman"/>
          <w:sz w:val="28"/>
          <w:szCs w:val="28"/>
        </w:rPr>
        <w:t>основная характеристика (протяженность, глубина, площадь, объем, высота, площади застройки) для сооружения</w:t>
      </w:r>
      <w:r>
        <w:rPr>
          <w:rFonts w:ascii="Times New Roman" w:hAnsi="Times New Roman"/>
          <w:sz w:val="28"/>
          <w:szCs w:val="28"/>
        </w:rPr>
        <w:t xml:space="preserve">, сведения о ранее учтенном объекте недвижимости могут быть внесены на основании </w:t>
      </w:r>
      <w:r>
        <w:rPr>
          <w:rFonts w:ascii="Times New Roman" w:hAnsi="Times New Roman"/>
          <w:spacing w:val="6"/>
          <w:sz w:val="28"/>
          <w:szCs w:val="28"/>
        </w:rPr>
        <w:t xml:space="preserve">технической документации, имеющейся в распоряжении органа регистрации прав, либо технической документации, поступившей от </w:t>
      </w:r>
      <w:r>
        <w:rPr>
          <w:rFonts w:ascii="Times New Roman" w:hAnsi="Times New Roman"/>
          <w:sz w:val="28"/>
          <w:szCs w:val="28"/>
        </w:rPr>
        <w:t>ГБУ КК «</w:t>
      </w:r>
      <w:proofErr w:type="spellStart"/>
      <w:r>
        <w:rPr>
          <w:rFonts w:ascii="Times New Roman" w:hAnsi="Times New Roman"/>
          <w:sz w:val="28"/>
          <w:szCs w:val="28"/>
        </w:rPr>
        <w:t>Крайтехинвентаризация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Краевое БТИ» на запрос органа регистрации прав.</w:t>
      </w:r>
    </w:p>
    <w:p w:rsidR="007B66B6" w:rsidRDefault="00B54A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color w:val="000000"/>
          <w:spacing w:val="6"/>
          <w:sz w:val="28"/>
          <w:szCs w:val="28"/>
        </w:rPr>
        <w:tab/>
      </w:r>
      <w:r>
        <w:rPr>
          <w:rFonts w:ascii="Times New Roman" w:hAnsi="Times New Roman"/>
          <w:i/>
          <w:color w:val="000000"/>
          <w:spacing w:val="6"/>
          <w:sz w:val="28"/>
          <w:szCs w:val="28"/>
        </w:rPr>
        <w:t>«Р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анее возникшие права на объекты недвижимости признаются юридически действительными, </w:t>
      </w:r>
      <w:r w:rsidRPr="00A41EE6">
        <w:rPr>
          <w:rFonts w:ascii="Times New Roman" w:eastAsia="Times New Roman" w:hAnsi="Times New Roman" w:cs="Times New Roman"/>
          <w:i/>
          <w:sz w:val="28"/>
          <w:szCs w:val="28"/>
        </w:rPr>
        <w:t>если в ЕГРН отсутствует запись о государственной регистрации. Г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осударственная регистрация ранее возникшего права в ЕГРН проводится по желанию правообладателя. Но если правообладатель хочет продать или подарить такой объект недвижимости, ему обязательно нужно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зарегистрировать на него свое право»,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/>
          <w:b/>
          <w:spacing w:val="6"/>
          <w:sz w:val="28"/>
          <w:szCs w:val="28"/>
        </w:rPr>
        <w:t>отмечает начальник</w:t>
      </w:r>
      <w:r w:rsidR="00DD584B">
        <w:rPr>
          <w:rFonts w:ascii="Times New Roman" w:hAnsi="Times New Roman"/>
          <w:b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 xml:space="preserve">отдела обработки документов и обеспечения учетных действий №2 </w:t>
      </w:r>
      <w:r>
        <w:rPr>
          <w:rFonts w:ascii="Times New Roman" w:eastAsia="Calibri" w:hAnsi="Times New Roman"/>
          <w:b/>
          <w:sz w:val="28"/>
          <w:szCs w:val="28"/>
        </w:rPr>
        <w:t>Кадастровой палаты по Краснодарскому краю</w:t>
      </w:r>
      <w:r>
        <w:rPr>
          <w:rFonts w:ascii="Times New Roman" w:hAnsi="Times New Roman"/>
          <w:b/>
          <w:sz w:val="28"/>
          <w:szCs w:val="24"/>
        </w:rPr>
        <w:t xml:space="preserve"> Юлия Третьяк.</w:t>
      </w:r>
    </w:p>
    <w:p w:rsidR="007B66B6" w:rsidRDefault="00B54A12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Pr="00AE515A">
        <w:rPr>
          <w:rFonts w:ascii="Times New Roman" w:hAnsi="Times New Roman"/>
          <w:sz w:val="28"/>
          <w:szCs w:val="24"/>
        </w:rPr>
        <w:t xml:space="preserve">Напоминаем, что 29.06.2021 вступил в силу федеральный закон № </w:t>
      </w:r>
      <w:hyperlink r:id="rId10" w:history="1">
        <w:r w:rsidRPr="00AE515A">
          <w:rPr>
            <w:rStyle w:val="a4"/>
            <w:rFonts w:ascii="Times New Roman" w:hAnsi="Times New Roman"/>
            <w:sz w:val="28"/>
            <w:szCs w:val="24"/>
          </w:rPr>
          <w:t>518-ФЗ</w:t>
        </w:r>
      </w:hyperlink>
      <w:r w:rsidRPr="00AE515A">
        <w:rPr>
          <w:rFonts w:ascii="Times New Roman" w:hAnsi="Times New Roman"/>
          <w:sz w:val="28"/>
          <w:szCs w:val="24"/>
        </w:rPr>
        <w:t xml:space="preserve">, согласно которому органы местного самоуправления могут проводить мероприятия по выявлению правообладателей ранее учтенных объектов недвижимости. Данные о </w:t>
      </w:r>
      <w:r w:rsidRPr="00AE515A">
        <w:rPr>
          <w:rFonts w:ascii="Times New Roman" w:hAnsi="Times New Roman"/>
          <w:sz w:val="28"/>
          <w:szCs w:val="28"/>
        </w:rPr>
        <w:t>правообладателях</w:t>
      </w:r>
      <w:r w:rsidRPr="00AE515A">
        <w:rPr>
          <w:rFonts w:ascii="Times New Roman" w:hAnsi="Times New Roman"/>
          <w:sz w:val="28"/>
          <w:szCs w:val="24"/>
        </w:rPr>
        <w:t xml:space="preserve"> вносят в ЕГРН без участия собственников на основании сведений, содержащихся в архивах загсов, налоговых, органов внутренних дел и нотариусов.</w:t>
      </w:r>
      <w:bookmarkStart w:id="0" w:name="_GoBack"/>
      <w:bookmarkEnd w:id="0"/>
      <w:r w:rsidR="00DD584B" w:rsidRPr="00AE515A">
        <w:rPr>
          <w:rFonts w:ascii="Times New Roman" w:hAnsi="Times New Roman"/>
          <w:sz w:val="28"/>
          <w:szCs w:val="24"/>
        </w:rPr>
        <w:t xml:space="preserve"> </w:t>
      </w:r>
      <w:r w:rsidRPr="00AE515A">
        <w:rPr>
          <w:rFonts w:ascii="Times New Roman" w:hAnsi="Times New Roman"/>
          <w:sz w:val="28"/>
          <w:szCs w:val="24"/>
        </w:rPr>
        <w:t>Во избежание риска внесения некорректных данных правообладатели могут самостоятельно подать заявление о государственной регистрации ранее возникшего права, заявить свои права на недвижимость, тем самым обеспечив государственную защиту.</w:t>
      </w:r>
    </w:p>
    <w:p w:rsidR="007B66B6" w:rsidRDefault="00B54A12">
      <w:pPr>
        <w:spacing w:after="0" w:line="240" w:lineRule="auto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:rsidR="007B66B6" w:rsidRDefault="00B54A12">
      <w:pPr>
        <w:spacing w:after="0" w:line="240" w:lineRule="auto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:rsidR="007B66B6" w:rsidRDefault="007B66B6">
      <w:pPr>
        <w:spacing w:after="0" w:line="240" w:lineRule="auto"/>
        <w:jc w:val="both"/>
        <w:rPr>
          <w:rFonts w:ascii="Segoe UI" w:hAnsi="Segoe UI" w:cs="Segoe UI"/>
          <w:color w:val="000000"/>
          <w:szCs w:val="28"/>
        </w:rPr>
      </w:pPr>
    </w:p>
    <w:tbl>
      <w:tblPr>
        <w:tblW w:w="11061" w:type="dxa"/>
        <w:jc w:val="center"/>
        <w:tblLayout w:type="fixed"/>
        <w:tblLook w:val="04A0"/>
      </w:tblPr>
      <w:tblGrid>
        <w:gridCol w:w="826"/>
        <w:gridCol w:w="4745"/>
        <w:gridCol w:w="716"/>
        <w:gridCol w:w="4774"/>
      </w:tblGrid>
      <w:tr w:rsidR="007B66B6">
        <w:trPr>
          <w:trHeight w:val="634"/>
          <w:jc w:val="center"/>
        </w:trPr>
        <w:tc>
          <w:tcPr>
            <w:tcW w:w="826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>
                  <wp:extent cx="358140" cy="358140"/>
                  <wp:effectExtent l="19050" t="0" r="3810" b="0"/>
                  <wp:docPr id="57" name="Рисунок 6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hideMark/>
          </w:tcPr>
          <w:p w:rsidR="007B66B6" w:rsidRDefault="0041091F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2" w:history="1">
              <w:r w:rsidR="00B54A12">
                <w:rPr>
                  <w:rFonts w:ascii="Segoe UI" w:hAnsi="Segoe UI" w:cs="Segoe UI"/>
                  <w:color w:val="0000FF"/>
                  <w:szCs w:val="28"/>
                  <w:u w:val="single"/>
                </w:rPr>
                <w:t>press23@23.kadastr.ru</w:t>
              </w:r>
            </w:hyperlink>
          </w:p>
        </w:tc>
        <w:tc>
          <w:tcPr>
            <w:tcW w:w="716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58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7B66B6">
        <w:trPr>
          <w:trHeight w:val="564"/>
          <w:jc w:val="center"/>
        </w:trPr>
        <w:tc>
          <w:tcPr>
            <w:tcW w:w="826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59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45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716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noProof/>
                <w:color w:val="0000FF"/>
                <w:u w:val="single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>
                  <wp:extent cx="358140" cy="358140"/>
                  <wp:effectExtent l="19050" t="0" r="3810" b="0"/>
                  <wp:docPr id="60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358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4" w:type="dxa"/>
            <w:hideMark/>
          </w:tcPr>
          <w:p w:rsidR="007B66B6" w:rsidRDefault="00B54A12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:rsidR="007B66B6" w:rsidRDefault="007B66B6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8"/>
          <w:szCs w:val="24"/>
        </w:rPr>
      </w:pPr>
    </w:p>
    <w:sectPr w:rsidR="007B66B6" w:rsidSect="007B66B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5B0" w:rsidRDefault="006D35B0">
      <w:pPr>
        <w:spacing w:after="0" w:line="240" w:lineRule="auto"/>
      </w:pPr>
      <w:r>
        <w:separator/>
      </w:r>
    </w:p>
  </w:endnote>
  <w:endnote w:type="continuationSeparator" w:id="0">
    <w:p w:rsidR="006D35B0" w:rsidRDefault="006D35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5B0" w:rsidRDefault="006D35B0">
      <w:pPr>
        <w:spacing w:after="0" w:line="240" w:lineRule="auto"/>
      </w:pPr>
      <w:r>
        <w:separator/>
      </w:r>
    </w:p>
  </w:footnote>
  <w:footnote w:type="continuationSeparator" w:id="0">
    <w:p w:rsidR="006D35B0" w:rsidRDefault="006D35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2AA40BC5"/>
    <w:multiLevelType w:val="hybridMultilevel"/>
    <w:tmpl w:val="B42E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022E7"/>
    <w:multiLevelType w:val="hybridMultilevel"/>
    <w:tmpl w:val="B2ACE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E3199"/>
    <w:multiLevelType w:val="hybridMultilevel"/>
    <w:tmpl w:val="D11A5F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58E92380"/>
    <w:multiLevelType w:val="hybridMultilevel"/>
    <w:tmpl w:val="4384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3594D"/>
    <w:multiLevelType w:val="hybridMultilevel"/>
    <w:tmpl w:val="45682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001674"/>
    <w:multiLevelType w:val="hybridMultilevel"/>
    <w:tmpl w:val="B5AC347A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>
    <w:nsid w:val="768F1B41"/>
    <w:multiLevelType w:val="hybridMultilevel"/>
    <w:tmpl w:val="0B5AD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AB50E0"/>
    <w:multiLevelType w:val="hybridMultilevel"/>
    <w:tmpl w:val="B13E2F1C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B66B6"/>
    <w:rsid w:val="00190A53"/>
    <w:rsid w:val="002D1E10"/>
    <w:rsid w:val="003F1A76"/>
    <w:rsid w:val="0041091F"/>
    <w:rsid w:val="006157CF"/>
    <w:rsid w:val="0061616F"/>
    <w:rsid w:val="006D35B0"/>
    <w:rsid w:val="006E2EA6"/>
    <w:rsid w:val="007B66B6"/>
    <w:rsid w:val="00A41EE6"/>
    <w:rsid w:val="00AE515A"/>
    <w:rsid w:val="00B54A12"/>
    <w:rsid w:val="00DD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6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6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6B6"/>
    <w:rPr>
      <w:color w:val="0000FF"/>
      <w:u w:val="single"/>
    </w:rPr>
  </w:style>
  <w:style w:type="paragraph" w:customStyle="1" w:styleId="ConsPlusNormal">
    <w:name w:val="ConsPlusNormal"/>
    <w:rsid w:val="007B6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semiHidden/>
    <w:rsid w:val="007B66B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7B66B6"/>
    <w:rPr>
      <w:rFonts w:ascii="Tahoma" w:eastAsia="Times New Roman" w:hAnsi="Tahoma" w:cs="Tahoma"/>
      <w:sz w:val="16"/>
      <w:szCs w:val="16"/>
    </w:rPr>
  </w:style>
  <w:style w:type="character" w:customStyle="1" w:styleId="tx1">
    <w:name w:val="tx1"/>
    <w:basedOn w:val="a0"/>
    <w:rsid w:val="007B66B6"/>
    <w:rPr>
      <w:b/>
      <w:bCs/>
    </w:rPr>
  </w:style>
  <w:style w:type="character" w:customStyle="1" w:styleId="t1">
    <w:name w:val="t1"/>
    <w:basedOn w:val="a0"/>
    <w:rsid w:val="007B66B6"/>
    <w:rPr>
      <w:color w:val="990000"/>
    </w:rPr>
  </w:style>
  <w:style w:type="character" w:customStyle="1" w:styleId="d">
    <w:name w:val="d"/>
    <w:basedOn w:val="a0"/>
    <w:rsid w:val="007B66B6"/>
    <w:rPr>
      <w:rFonts w:ascii="Tahoma" w:hAnsi="Tahoma" w:cs="Tahoma" w:hint="default"/>
      <w:sz w:val="16"/>
      <w:szCs w:val="16"/>
      <w:shd w:val="clear" w:color="auto" w:fill="FFFFFF"/>
    </w:rPr>
  </w:style>
  <w:style w:type="paragraph" w:styleId="a7">
    <w:name w:val="No Spacing"/>
    <w:link w:val="a8"/>
    <w:uiPriority w:val="1"/>
    <w:qFormat/>
    <w:rsid w:val="007B66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B66B6"/>
    <w:rPr>
      <w:rFonts w:ascii="Calibri" w:eastAsia="Calibri" w:hAnsi="Calibri" w:cs="Times New Roman"/>
      <w:lang w:eastAsia="en-US"/>
    </w:rPr>
  </w:style>
  <w:style w:type="paragraph" w:styleId="a9">
    <w:name w:val="footnote text"/>
    <w:basedOn w:val="a"/>
    <w:link w:val="aa"/>
    <w:uiPriority w:val="99"/>
    <w:semiHidden/>
    <w:unhideWhenUsed/>
    <w:rsid w:val="007B66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7B66B6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7B66B6"/>
    <w:rPr>
      <w:vertAlign w:val="superscript"/>
    </w:rPr>
  </w:style>
  <w:style w:type="paragraph" w:styleId="ac">
    <w:name w:val="Body Text"/>
    <w:basedOn w:val="a"/>
    <w:link w:val="ad"/>
    <w:rsid w:val="007B66B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Основной текст Знак"/>
    <w:basedOn w:val="a0"/>
    <w:link w:val="ac"/>
    <w:rsid w:val="007B66B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2706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1622">
          <w:marLeft w:val="-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84851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2499">
          <w:marLeft w:val="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2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ess23@23.kadast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://www.consultant.ru/document/cons_doc_LAW_372672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5287/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AC0AD-967B-4A78-B054-8DF642D8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user0130</dc:creator>
  <cp:lastModifiedBy>RePack by SPecialiST</cp:lastModifiedBy>
  <cp:revision>2</cp:revision>
  <cp:lastPrinted>2021-12-01T11:38:00Z</cp:lastPrinted>
  <dcterms:created xsi:type="dcterms:W3CDTF">2022-03-25T11:30:00Z</dcterms:created>
  <dcterms:modified xsi:type="dcterms:W3CDTF">2022-03-25T11:30:00Z</dcterms:modified>
</cp:coreProperties>
</file>