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30A" w:rsidRDefault="0060730A">
      <w:pPr>
        <w:spacing w:after="0" w:line="240" w:lineRule="auto"/>
        <w:rPr>
          <w:rFonts w:ascii="Calibri" w:hAnsi="Calibri"/>
        </w:rPr>
      </w:pPr>
    </w:p>
    <w:p w:rsidR="0060730A" w:rsidRDefault="008D6AB7">
      <w:pPr>
        <w:spacing w:after="0" w:line="240" w:lineRule="auto"/>
        <w:rPr>
          <w:rFonts w:ascii="Calibri" w:hAnsi="Calibri"/>
        </w:rPr>
      </w:pPr>
      <w:r>
        <w:rPr>
          <w:noProof/>
        </w:rPr>
        <w:drawing>
          <wp:inline distT="0" distB="0" distL="0" distR="0">
            <wp:extent cx="3009900" cy="723900"/>
            <wp:effectExtent l="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24" t="-100" r="-24" b="-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30A" w:rsidRDefault="008D6AB7">
      <w:pPr>
        <w:spacing w:after="0" w:line="240" w:lineRule="auto"/>
        <w:rPr>
          <w:rFonts w:ascii="Calibri" w:hAnsi="Calibri"/>
        </w:rPr>
      </w:pPr>
      <w:r>
        <w:t xml:space="preserve">                                                                                                                                        </w:t>
      </w:r>
    </w:p>
    <w:p w:rsidR="0060730A" w:rsidRDefault="0060730A">
      <w:pPr>
        <w:spacing w:after="0" w:line="300" w:lineRule="exact"/>
        <w:ind w:left="708" w:firstLine="708"/>
        <w:contextualSpacing/>
        <w:jc w:val="center"/>
        <w:rPr>
          <w:rFonts w:ascii="Times New Roman" w:hAnsi="Times New Roman"/>
          <w:b/>
          <w:sz w:val="26"/>
        </w:rPr>
      </w:pPr>
    </w:p>
    <w:p w:rsidR="0060730A" w:rsidRDefault="0060730A">
      <w:pPr>
        <w:spacing w:after="0" w:line="300" w:lineRule="exact"/>
        <w:ind w:left="708" w:firstLine="708"/>
        <w:contextualSpacing/>
        <w:jc w:val="center"/>
        <w:rPr>
          <w:rFonts w:ascii="Times New Roman" w:hAnsi="Times New Roman"/>
          <w:b/>
          <w:sz w:val="28"/>
        </w:rPr>
      </w:pPr>
    </w:p>
    <w:p w:rsidR="0060730A" w:rsidRDefault="0060730A">
      <w:pPr>
        <w:spacing w:after="0" w:line="300" w:lineRule="exact"/>
        <w:contextualSpacing/>
        <w:rPr>
          <w:rFonts w:ascii="Times New Roman" w:hAnsi="Times New Roman"/>
          <w:b/>
          <w:sz w:val="28"/>
        </w:rPr>
      </w:pPr>
    </w:p>
    <w:p w:rsidR="0060730A" w:rsidRDefault="0060730A">
      <w:pPr>
        <w:spacing w:after="0" w:line="300" w:lineRule="exact"/>
        <w:ind w:left="708" w:firstLine="708"/>
        <w:contextualSpacing/>
        <w:jc w:val="right"/>
        <w:rPr>
          <w:rFonts w:ascii="Times New Roman" w:hAnsi="Times New Roman"/>
          <w:b/>
          <w:sz w:val="28"/>
        </w:rPr>
      </w:pPr>
    </w:p>
    <w:p w:rsidR="0060730A" w:rsidRDefault="008D6AB7">
      <w:pPr>
        <w:spacing w:after="0" w:line="300" w:lineRule="exact"/>
        <w:ind w:firstLine="709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Филиал</w:t>
      </w:r>
      <w:r>
        <w:rPr>
          <w:rFonts w:ascii="Times New Roman" w:hAnsi="Times New Roman"/>
          <w:b/>
          <w:sz w:val="28"/>
        </w:rPr>
        <w:t xml:space="preserve"> ППК «</w:t>
      </w:r>
      <w:proofErr w:type="spellStart"/>
      <w:r>
        <w:rPr>
          <w:rFonts w:ascii="Times New Roman" w:hAnsi="Times New Roman"/>
          <w:b/>
          <w:sz w:val="28"/>
        </w:rPr>
        <w:t>Роскадастр</w:t>
      </w:r>
      <w:proofErr w:type="spellEnd"/>
      <w:r>
        <w:rPr>
          <w:rFonts w:ascii="Times New Roman" w:hAnsi="Times New Roman"/>
          <w:b/>
          <w:sz w:val="28"/>
        </w:rPr>
        <w:t xml:space="preserve">» по ЮФО рассказал о </w:t>
      </w:r>
      <w:r>
        <w:rPr>
          <w:rFonts w:ascii="Times New Roman" w:hAnsi="Times New Roman"/>
          <w:b/>
          <w:sz w:val="28"/>
        </w:rPr>
        <w:t>назначени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b/>
          <w:sz w:val="28"/>
        </w:rPr>
        <w:t xml:space="preserve"> и поряд</w:t>
      </w:r>
      <w:r>
        <w:rPr>
          <w:rFonts w:ascii="Times New Roman" w:hAnsi="Times New Roman"/>
          <w:b/>
          <w:sz w:val="28"/>
        </w:rPr>
        <w:t>ке</w:t>
      </w:r>
      <w:r>
        <w:rPr>
          <w:rFonts w:ascii="Times New Roman" w:hAnsi="Times New Roman"/>
          <w:b/>
          <w:sz w:val="28"/>
        </w:rPr>
        <w:t xml:space="preserve"> получения сведений</w:t>
      </w:r>
      <w:r>
        <w:rPr>
          <w:rFonts w:ascii="Times New Roman" w:hAnsi="Times New Roman"/>
          <w:b/>
          <w:sz w:val="28"/>
        </w:rPr>
        <w:t xml:space="preserve"> из ГФДЗ</w:t>
      </w:r>
    </w:p>
    <w:p w:rsidR="0060730A" w:rsidRDefault="0060730A">
      <w:pPr>
        <w:spacing w:after="0" w:line="300" w:lineRule="exact"/>
        <w:ind w:left="708" w:firstLine="708"/>
        <w:contextualSpacing/>
        <w:jc w:val="center"/>
        <w:rPr>
          <w:rFonts w:ascii="Times New Roman" w:hAnsi="Times New Roman"/>
          <w:b/>
          <w:sz w:val="28"/>
        </w:rPr>
      </w:pPr>
    </w:p>
    <w:p w:rsidR="0060730A" w:rsidRDefault="008D6AB7">
      <w:pPr>
        <w:spacing w:after="0" w:line="340" w:lineRule="exact"/>
        <w:ind w:firstLine="708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Государственный фонд данных</w:t>
      </w:r>
      <w:r>
        <w:rPr>
          <w:rFonts w:ascii="Times New Roman" w:hAnsi="Times New Roman"/>
          <w:b/>
          <w:sz w:val="28"/>
        </w:rPr>
        <w:t>, полученных в результате проведения землеустройства (ГФДЗ),</w:t>
      </w:r>
      <w:r>
        <w:rPr>
          <w:rFonts w:ascii="Times New Roman" w:hAnsi="Times New Roman"/>
          <w:b/>
          <w:sz w:val="28"/>
        </w:rPr>
        <w:t xml:space="preserve"> – система, позволяющая хранить, обрабатывать и предоставлять сведения о землеустроительной деятельности. ГФДЗ решает задачу сохранения архивов и создаёт</w:t>
      </w:r>
      <w:r>
        <w:rPr>
          <w:rFonts w:ascii="Times New Roman" w:hAnsi="Times New Roman"/>
          <w:b/>
          <w:sz w:val="28"/>
        </w:rPr>
        <w:t xml:space="preserve"> фундамент для цифровой экономики в сфере земельных отношений, обеспечивая граждан, кадастровых инженеров и органы власти оперативным и достоверным доступом к ключевой землеустроительной информации. Подробнее о порядке получения сведений из ГФДЗ рассказали</w:t>
      </w:r>
      <w:r>
        <w:rPr>
          <w:rFonts w:ascii="Times New Roman" w:hAnsi="Times New Roman"/>
          <w:b/>
          <w:sz w:val="28"/>
        </w:rPr>
        <w:t xml:space="preserve"> эксперты филиала ППК «</w:t>
      </w:r>
      <w:proofErr w:type="spellStart"/>
      <w:r>
        <w:rPr>
          <w:rFonts w:ascii="Times New Roman" w:hAnsi="Times New Roman"/>
          <w:b/>
          <w:sz w:val="28"/>
        </w:rPr>
        <w:t>Роскадастр</w:t>
      </w:r>
      <w:proofErr w:type="spellEnd"/>
      <w:r>
        <w:rPr>
          <w:rFonts w:ascii="Times New Roman" w:hAnsi="Times New Roman"/>
          <w:b/>
          <w:sz w:val="28"/>
        </w:rPr>
        <w:t>» «Центр геодезии, картографии и кадастра по Южному федеральному округу».</w:t>
      </w:r>
    </w:p>
    <w:p w:rsidR="0060730A" w:rsidRDefault="008D6AB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Благодаря фонду данных можно получить следующую документацию</w:t>
      </w:r>
      <w:r>
        <w:rPr>
          <w:sz w:val="28"/>
        </w:rPr>
        <w:t>:</w:t>
      </w:r>
    </w:p>
    <w:p w:rsidR="0060730A" w:rsidRDefault="008D6AB7">
      <w:pPr>
        <w:pStyle w:val="a4"/>
        <w:spacing w:before="0" w:after="0"/>
        <w:ind w:firstLine="709"/>
        <w:contextualSpacing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 xml:space="preserve">генеральную схему землеустройства территории Российской Федерации; </w:t>
      </w:r>
    </w:p>
    <w:p w:rsidR="0060730A" w:rsidRDefault="008D6AB7">
      <w:pPr>
        <w:pStyle w:val="a4"/>
        <w:spacing w:before="0" w:after="0" w:line="340" w:lineRule="exact"/>
        <w:ind w:firstLine="708"/>
        <w:contextualSpacing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карты (планы) о</w:t>
      </w:r>
      <w:r>
        <w:rPr>
          <w:sz w:val="28"/>
        </w:rPr>
        <w:t>бъектов землеустройства;</w:t>
      </w:r>
    </w:p>
    <w:p w:rsidR="0060730A" w:rsidRDefault="008D6AB7">
      <w:pPr>
        <w:pStyle w:val="a4"/>
        <w:spacing w:before="0" w:after="0" w:line="340" w:lineRule="exact"/>
        <w:ind w:firstLine="708"/>
        <w:contextualSpacing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проекты внутрихозяйственного землеустройства;</w:t>
      </w:r>
    </w:p>
    <w:p w:rsidR="0060730A" w:rsidRDefault="008D6AB7">
      <w:pPr>
        <w:pStyle w:val="a4"/>
        <w:spacing w:before="0" w:after="0" w:line="340" w:lineRule="exact"/>
        <w:ind w:firstLine="708"/>
        <w:contextualSpacing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проекты улучшения сельскохозяйственных угодий;</w:t>
      </w:r>
    </w:p>
    <w:p w:rsidR="0060730A" w:rsidRDefault="008D6AB7">
      <w:pPr>
        <w:pStyle w:val="a4"/>
        <w:spacing w:before="0" w:after="0" w:line="340" w:lineRule="exact"/>
        <w:ind w:firstLine="708"/>
        <w:contextualSpacing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материалы почвенных, геоботанических и других обследований и изысканий, оценки качества земель, инвентаризации земель;</w:t>
      </w:r>
    </w:p>
    <w:p w:rsidR="0060730A" w:rsidRDefault="008D6AB7">
      <w:pPr>
        <w:pStyle w:val="a4"/>
        <w:spacing w:after="0" w:line="340" w:lineRule="exact"/>
        <w:ind w:firstLine="708"/>
        <w:contextualSpacing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</w:r>
      <w:r>
        <w:rPr>
          <w:sz w:val="28"/>
        </w:rPr>
        <w:t>тематические карты и атласы состояния и использования земель.</w:t>
      </w:r>
    </w:p>
    <w:p w:rsidR="0060730A" w:rsidRDefault="008D6AB7">
      <w:pPr>
        <w:pStyle w:val="a4"/>
        <w:spacing w:before="0" w:after="0" w:line="340" w:lineRule="exact"/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Данными ГФДЗ могут пользоваться как физические и юридические лица, так и органы государственной власти. </w:t>
      </w:r>
    </w:p>
    <w:p w:rsidR="0060730A" w:rsidRDefault="008D6AB7">
      <w:pPr>
        <w:pStyle w:val="a4"/>
        <w:spacing w:after="0" w:line="340" w:lineRule="exact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Важно, что материалы фонда данных землеустройства предоставляются </w:t>
      </w:r>
      <w:r>
        <w:rPr>
          <w:b/>
          <w:sz w:val="28"/>
        </w:rPr>
        <w:t>бесплатно.</w:t>
      </w:r>
      <w:r>
        <w:rPr>
          <w:sz w:val="28"/>
        </w:rPr>
        <w:t xml:space="preserve"> Вся землеуст</w:t>
      </w:r>
      <w:r>
        <w:rPr>
          <w:sz w:val="28"/>
        </w:rPr>
        <w:t>роительная документация, включённая в ГФДЗ, является федеральной собственностью и не подлежит приватизации.</w:t>
      </w:r>
    </w:p>
    <w:p w:rsidR="0060730A" w:rsidRDefault="008D6AB7">
      <w:pPr>
        <w:pStyle w:val="a4"/>
        <w:spacing w:before="0" w:after="0" w:line="340" w:lineRule="exact"/>
        <w:ind w:firstLine="708"/>
        <w:contextualSpacing/>
        <w:jc w:val="both"/>
        <w:rPr>
          <w:b/>
          <w:sz w:val="28"/>
        </w:rPr>
      </w:pPr>
      <w:r>
        <w:rPr>
          <w:i/>
          <w:sz w:val="28"/>
        </w:rPr>
        <w:t>«За материалами ГФДЗ обращаются граждане, у которых возник неразрешимый спор с соседями. При конфликтах из-за заборов, построек или проездов выписки</w:t>
      </w:r>
      <w:r>
        <w:rPr>
          <w:i/>
          <w:sz w:val="28"/>
        </w:rPr>
        <w:t xml:space="preserve"> из фонда станут доказательной базой в досудебном урегулировании или в суде.</w:t>
      </w:r>
      <w:r>
        <w:t xml:space="preserve"> </w:t>
      </w:r>
      <w:r>
        <w:rPr>
          <w:i/>
          <w:sz w:val="28"/>
        </w:rPr>
        <w:t xml:space="preserve">Отметим, что сведения являются общедоступными, за </w:t>
      </w:r>
      <w:bookmarkStart w:id="0" w:name="_GoBack"/>
      <w:r>
        <w:rPr>
          <w:i/>
          <w:sz w:val="28"/>
        </w:rPr>
        <w:t xml:space="preserve">исключением тех, которые согласно </w:t>
      </w:r>
      <w:proofErr w:type="gramStart"/>
      <w:r>
        <w:rPr>
          <w:i/>
          <w:sz w:val="28"/>
        </w:rPr>
        <w:t>законодательству Российской Федерации</w:t>
      </w:r>
      <w:proofErr w:type="gramEnd"/>
      <w:r>
        <w:rPr>
          <w:i/>
          <w:sz w:val="28"/>
        </w:rPr>
        <w:t xml:space="preserve"> </w:t>
      </w:r>
      <w:bookmarkEnd w:id="0"/>
      <w:r>
        <w:rPr>
          <w:i/>
          <w:sz w:val="28"/>
        </w:rPr>
        <w:t>относятся к информации ограниченного доступа. Их могут п</w:t>
      </w:r>
      <w:r>
        <w:rPr>
          <w:i/>
          <w:sz w:val="28"/>
        </w:rPr>
        <w:t xml:space="preserve">олучить только лица, предоставившие документ, подтверждающий право доступа к таким сведениям», </w:t>
      </w:r>
      <w:r>
        <w:rPr>
          <w:b/>
          <w:sz w:val="28"/>
        </w:rPr>
        <w:t xml:space="preserve">– </w:t>
      </w:r>
      <w:r>
        <w:rPr>
          <w:sz w:val="28"/>
        </w:rPr>
        <w:t>сообщает заместитель директора филиала ППК «</w:t>
      </w:r>
      <w:proofErr w:type="spellStart"/>
      <w:r>
        <w:rPr>
          <w:sz w:val="28"/>
        </w:rPr>
        <w:t>Роскадастр</w:t>
      </w:r>
      <w:proofErr w:type="spellEnd"/>
      <w:r>
        <w:rPr>
          <w:sz w:val="28"/>
        </w:rPr>
        <w:t xml:space="preserve">» «Центр геодезии, картографии и кадастра по Южному федеральному округу» </w:t>
      </w:r>
      <w:r>
        <w:rPr>
          <w:b/>
          <w:sz w:val="28"/>
        </w:rPr>
        <w:t xml:space="preserve">Сергей </w:t>
      </w:r>
      <w:proofErr w:type="spellStart"/>
      <w:r>
        <w:rPr>
          <w:b/>
          <w:sz w:val="28"/>
        </w:rPr>
        <w:t>Пискашов</w:t>
      </w:r>
      <w:proofErr w:type="spellEnd"/>
      <w:r>
        <w:rPr>
          <w:b/>
          <w:sz w:val="28"/>
        </w:rPr>
        <w:t>.</w:t>
      </w:r>
    </w:p>
    <w:p w:rsidR="0060730A" w:rsidRDefault="008D6AB7">
      <w:pPr>
        <w:pStyle w:val="a4"/>
        <w:spacing w:after="0" w:line="340" w:lineRule="exact"/>
        <w:ind w:firstLine="708"/>
        <w:contextualSpacing/>
        <w:jc w:val="both"/>
        <w:rPr>
          <w:sz w:val="28"/>
        </w:rPr>
      </w:pPr>
      <w:r>
        <w:rPr>
          <w:sz w:val="28"/>
        </w:rPr>
        <w:lastRenderedPageBreak/>
        <w:t>Ведение ГФДЗ ос</w:t>
      </w:r>
      <w:r>
        <w:rPr>
          <w:sz w:val="28"/>
        </w:rPr>
        <w:t>уществляют ППК «</w:t>
      </w:r>
      <w:proofErr w:type="spellStart"/>
      <w:r>
        <w:rPr>
          <w:sz w:val="28"/>
        </w:rPr>
        <w:t>Роскадастр</w:t>
      </w:r>
      <w:proofErr w:type="spellEnd"/>
      <w:r>
        <w:rPr>
          <w:sz w:val="28"/>
        </w:rPr>
        <w:t>» и ее филиалы. Подать заявление на получение сведений из фонда данных можно несколькими способами:</w:t>
      </w:r>
    </w:p>
    <w:p w:rsidR="0060730A" w:rsidRDefault="008D6AB7">
      <w:pPr>
        <w:pStyle w:val="a4"/>
        <w:spacing w:after="0" w:line="340" w:lineRule="exact"/>
        <w:ind w:firstLine="708"/>
        <w:contextualSpacing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в электронном виде на портале «</w:t>
      </w:r>
      <w:proofErr w:type="spellStart"/>
      <w:r>
        <w:rPr>
          <w:sz w:val="28"/>
        </w:rPr>
        <w:t>Госуслуги</w:t>
      </w:r>
      <w:proofErr w:type="spellEnd"/>
      <w:r>
        <w:rPr>
          <w:sz w:val="28"/>
        </w:rPr>
        <w:t>» в разделе «Услуги» – «Стройка и недвижимость» – «Предоставление материалов и данных го</w:t>
      </w:r>
      <w:r>
        <w:rPr>
          <w:sz w:val="28"/>
        </w:rPr>
        <w:t>сударственного фонда данных, полученных в результате проведения землеустройства»;</w:t>
      </w:r>
    </w:p>
    <w:p w:rsidR="0060730A" w:rsidRDefault="008D6AB7">
      <w:pPr>
        <w:pStyle w:val="a4"/>
        <w:spacing w:after="0" w:line="340" w:lineRule="exact"/>
        <w:ind w:firstLine="708"/>
        <w:contextualSpacing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по адресу электронной почты филиала ППК «</w:t>
      </w:r>
      <w:proofErr w:type="spellStart"/>
      <w:r>
        <w:rPr>
          <w:sz w:val="28"/>
        </w:rPr>
        <w:t>Роскадастр</w:t>
      </w:r>
      <w:proofErr w:type="spellEnd"/>
      <w:r>
        <w:rPr>
          <w:sz w:val="28"/>
        </w:rPr>
        <w:t xml:space="preserve">» «Центр геодезии, картографии и кадастра по Южному федеральному округу»: filial@23.kadastr.ru; </w:t>
      </w:r>
    </w:p>
    <w:p w:rsidR="0060730A" w:rsidRDefault="008D6AB7">
      <w:pPr>
        <w:pStyle w:val="a4"/>
        <w:spacing w:after="0" w:line="340" w:lineRule="exact"/>
        <w:ind w:firstLine="708"/>
        <w:contextualSpacing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в виде бумажного докум</w:t>
      </w:r>
      <w:r>
        <w:rPr>
          <w:sz w:val="28"/>
        </w:rPr>
        <w:t xml:space="preserve">ента почтой по адресу: 350018, Краснодарский край, г. Краснодар, ул. </w:t>
      </w:r>
      <w:proofErr w:type="spellStart"/>
      <w:r>
        <w:rPr>
          <w:sz w:val="28"/>
        </w:rPr>
        <w:t>Сормовская</w:t>
      </w:r>
      <w:proofErr w:type="spellEnd"/>
      <w:r>
        <w:rPr>
          <w:sz w:val="28"/>
        </w:rPr>
        <w:t>, 3.</w:t>
      </w:r>
    </w:p>
    <w:p w:rsidR="0060730A" w:rsidRDefault="008D6AB7">
      <w:pPr>
        <w:pStyle w:val="a4"/>
        <w:spacing w:after="0" w:line="340" w:lineRule="exact"/>
        <w:ind w:firstLine="708"/>
        <w:contextualSpacing/>
        <w:jc w:val="both"/>
        <w:rPr>
          <w:rFonts w:ascii="Segoe UI" w:hAnsi="Segoe UI"/>
        </w:rPr>
      </w:pPr>
      <w:r>
        <w:rPr>
          <w:sz w:val="28"/>
        </w:rPr>
        <w:t>Кроме того, получить ценные документы можно и при личном обращении в филиал ППК «</w:t>
      </w:r>
      <w:proofErr w:type="spellStart"/>
      <w:r>
        <w:rPr>
          <w:sz w:val="28"/>
        </w:rPr>
        <w:t>Роскадастр</w:t>
      </w:r>
      <w:proofErr w:type="spellEnd"/>
      <w:r>
        <w:rPr>
          <w:sz w:val="28"/>
        </w:rPr>
        <w:t>» «Центр геодезии, картографии и кадастра по Южному федеральному округу»: г. Крас</w:t>
      </w:r>
      <w:r>
        <w:rPr>
          <w:sz w:val="28"/>
        </w:rPr>
        <w:t xml:space="preserve">нодар, ул. </w:t>
      </w:r>
      <w:proofErr w:type="spellStart"/>
      <w:r>
        <w:rPr>
          <w:sz w:val="28"/>
        </w:rPr>
        <w:t>Сормовская</w:t>
      </w:r>
      <w:proofErr w:type="spellEnd"/>
      <w:r>
        <w:rPr>
          <w:sz w:val="28"/>
        </w:rPr>
        <w:t>, 3, а также в офисах филиала ППК «</w:t>
      </w:r>
      <w:proofErr w:type="spellStart"/>
      <w:r>
        <w:rPr>
          <w:sz w:val="28"/>
        </w:rPr>
        <w:t>Роскадастр</w:t>
      </w:r>
      <w:proofErr w:type="spellEnd"/>
      <w:r>
        <w:rPr>
          <w:sz w:val="28"/>
        </w:rPr>
        <w:t>» по месту нахождения объектов недвижимости.</w:t>
      </w:r>
      <w:r>
        <w:rPr>
          <w:rFonts w:ascii="Segoe UI" w:hAnsi="Segoe UI"/>
        </w:rPr>
        <w:t xml:space="preserve"> _____________________________________________________________________________________________</w:t>
      </w:r>
    </w:p>
    <w:p w:rsidR="0060730A" w:rsidRDefault="008D6AB7">
      <w:pPr>
        <w:spacing w:after="0" w:line="240" w:lineRule="auto"/>
        <w:jc w:val="both"/>
        <w:rPr>
          <w:rFonts w:ascii="Segoe UI" w:hAnsi="Segoe UI"/>
          <w:sz w:val="24"/>
        </w:rPr>
      </w:pPr>
      <w:r>
        <w:rPr>
          <w:rFonts w:ascii="Segoe UI" w:hAnsi="Segoe UI"/>
          <w:sz w:val="24"/>
        </w:rPr>
        <w:t>Пресс-служба филиала ППК «</w:t>
      </w:r>
      <w:proofErr w:type="spellStart"/>
      <w:r>
        <w:rPr>
          <w:rFonts w:ascii="Segoe UI" w:hAnsi="Segoe UI"/>
          <w:sz w:val="24"/>
        </w:rPr>
        <w:t>Роскадастр</w:t>
      </w:r>
      <w:proofErr w:type="spellEnd"/>
      <w:r>
        <w:rPr>
          <w:rFonts w:ascii="Segoe UI" w:hAnsi="Segoe UI"/>
          <w:sz w:val="24"/>
        </w:rPr>
        <w:t>» филиала ППК «</w:t>
      </w:r>
      <w:proofErr w:type="spellStart"/>
      <w:r>
        <w:rPr>
          <w:rFonts w:ascii="Segoe UI" w:hAnsi="Segoe UI"/>
          <w:sz w:val="24"/>
        </w:rPr>
        <w:t>Роскадастр</w:t>
      </w:r>
      <w:proofErr w:type="spellEnd"/>
      <w:r>
        <w:rPr>
          <w:rFonts w:ascii="Segoe UI" w:hAnsi="Segoe UI"/>
          <w:sz w:val="24"/>
        </w:rPr>
        <w:t>» «Центр геодезии, картографии и кадастра по Южному федеральному округу»</w:t>
      </w:r>
    </w:p>
    <w:tbl>
      <w:tblPr>
        <w:tblW w:w="10295" w:type="dxa"/>
        <w:jc w:val="center"/>
        <w:tblLayout w:type="fixed"/>
        <w:tblLook w:val="04A0" w:firstRow="1" w:lastRow="0" w:firstColumn="1" w:lastColumn="0" w:noHBand="0" w:noVBand="1"/>
      </w:tblPr>
      <w:tblGrid>
        <w:gridCol w:w="777"/>
        <w:gridCol w:w="4451"/>
        <w:gridCol w:w="958"/>
        <w:gridCol w:w="4109"/>
      </w:tblGrid>
      <w:tr w:rsidR="0060730A">
        <w:trPr>
          <w:jc w:val="center"/>
        </w:trPr>
        <w:tc>
          <w:tcPr>
            <w:tcW w:w="776" w:type="dxa"/>
          </w:tcPr>
          <w:p w:rsidR="0060730A" w:rsidRDefault="008D6AB7">
            <w:pPr>
              <w:spacing w:after="0" w:line="240" w:lineRule="auto"/>
              <w:contextualSpacing/>
              <w:rPr>
                <w:rFonts w:ascii="Segoe UI" w:hAnsi="Segoe UI"/>
                <w:color w:val="0000FF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361315" cy="361315"/>
                  <wp:effectExtent l="0" t="0" r="0" b="0"/>
                  <wp:docPr id="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361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1" w:type="dxa"/>
            <w:vAlign w:val="center"/>
          </w:tcPr>
          <w:p w:rsidR="0060730A" w:rsidRDefault="008D6AB7">
            <w:pPr>
              <w:spacing w:after="0" w:line="240" w:lineRule="auto"/>
              <w:contextualSpacing/>
              <w:rPr>
                <w:rFonts w:ascii="Segoe UI" w:hAnsi="Segoe UI"/>
                <w:color w:val="0000FF"/>
                <w:u w:val="single"/>
              </w:rPr>
            </w:pPr>
            <w:hyperlink r:id="rId8">
              <w:r>
                <w:rPr>
                  <w:rFonts w:ascii="Segoe UI" w:hAnsi="Segoe UI"/>
                  <w:color w:val="0000FF"/>
                  <w:u w:val="single"/>
                </w:rPr>
                <w:t>press23@23.kadastr.ru</w:t>
              </w:r>
            </w:hyperlink>
          </w:p>
        </w:tc>
        <w:tc>
          <w:tcPr>
            <w:tcW w:w="958" w:type="dxa"/>
          </w:tcPr>
          <w:p w:rsidR="0060730A" w:rsidRDefault="008D6AB7">
            <w:pPr>
              <w:spacing w:after="0" w:line="240" w:lineRule="auto"/>
              <w:contextualSpacing/>
              <w:jc w:val="center"/>
              <w:rPr>
                <w:rFonts w:ascii="Segoe UI" w:hAnsi="Segoe UI"/>
                <w:color w:val="0563C1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351155" cy="351155"/>
                  <wp:effectExtent l="0" t="0" r="0" b="0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55" cy="351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9" w:type="dxa"/>
            <w:vAlign w:val="center"/>
          </w:tcPr>
          <w:p w:rsidR="0060730A" w:rsidRDefault="008D6AB7">
            <w:pPr>
              <w:spacing w:after="0" w:line="240" w:lineRule="auto"/>
              <w:contextualSpacing/>
              <w:rPr>
                <w:rFonts w:ascii="Segoe UI" w:hAnsi="Segoe UI"/>
                <w:color w:val="0000FF"/>
                <w:u w:val="single"/>
              </w:rPr>
            </w:pPr>
            <w:r>
              <w:rPr>
                <w:rFonts w:ascii="Segoe UI" w:hAnsi="Segoe UI"/>
                <w:color w:val="0000FF"/>
                <w:u w:val="single"/>
              </w:rPr>
              <w:t>https://vk.com/kadastr_krd</w:t>
            </w:r>
          </w:p>
        </w:tc>
      </w:tr>
      <w:tr w:rsidR="0060730A">
        <w:trPr>
          <w:jc w:val="center"/>
        </w:trPr>
        <w:tc>
          <w:tcPr>
            <w:tcW w:w="776" w:type="dxa"/>
          </w:tcPr>
          <w:p w:rsidR="0060730A" w:rsidRDefault="008D6AB7">
            <w:pPr>
              <w:spacing w:after="0" w:line="240" w:lineRule="auto"/>
              <w:contextualSpacing/>
              <w:jc w:val="center"/>
              <w:rPr>
                <w:rFonts w:ascii="Segoe UI" w:hAnsi="Segoe UI"/>
                <w:color w:val="0000FF"/>
                <w:sz w:val="24"/>
              </w:rPr>
            </w:pPr>
            <w:r>
              <w:rPr>
                <w:rFonts w:ascii="Segoe UI" w:hAnsi="Segoe UI"/>
                <w:noProof/>
                <w:color w:val="0000FF"/>
                <w:sz w:val="24"/>
              </w:rPr>
              <w:drawing>
                <wp:anchor distT="0" distB="0" distL="0" distR="0" simplePos="0" relativeHeight="6" behindDoc="0" locked="0" layoutInCell="1" allowOverlap="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13970</wp:posOffset>
                  </wp:positionV>
                  <wp:extent cx="347980" cy="344805"/>
                  <wp:effectExtent l="0" t="0" r="0" b="0"/>
                  <wp:wrapNone/>
                  <wp:docPr id="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80" cy="344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51" w:type="dxa"/>
            <w:vAlign w:val="center"/>
          </w:tcPr>
          <w:p w:rsidR="0060730A" w:rsidRDefault="008D6AB7">
            <w:pPr>
              <w:spacing w:after="0" w:line="240" w:lineRule="auto"/>
              <w:contextualSpacing/>
            </w:pPr>
            <w:r>
              <w:rPr>
                <w:rFonts w:ascii="Segoe UI" w:hAnsi="Segoe UI"/>
                <w:color w:val="0000FF"/>
                <w:u w:val="single"/>
              </w:rPr>
              <w:t>https://kadastr.ru</w:t>
            </w:r>
          </w:p>
        </w:tc>
        <w:tc>
          <w:tcPr>
            <w:tcW w:w="958" w:type="dxa"/>
          </w:tcPr>
          <w:p w:rsidR="0060730A" w:rsidRDefault="008D6AB7">
            <w:pPr>
              <w:spacing w:after="0" w:line="240" w:lineRule="auto"/>
              <w:contextualSpacing/>
              <w:rPr>
                <w:rFonts w:ascii="Segoe UI" w:hAnsi="Segoe UI"/>
                <w:color w:val="0000FF"/>
              </w:rPr>
            </w:pPr>
            <w:r>
              <w:rPr>
                <w:noProof/>
              </w:rPr>
              <w:drawing>
                <wp:inline distT="0" distB="0" distL="0" distR="0">
                  <wp:extent cx="361315" cy="361315"/>
                  <wp:effectExtent l="0" t="0" r="0" b="0"/>
                  <wp:docPr id="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361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9" w:type="dxa"/>
            <w:vAlign w:val="center"/>
          </w:tcPr>
          <w:p w:rsidR="0060730A" w:rsidRDefault="008D6AB7">
            <w:pPr>
              <w:spacing w:after="0" w:line="240" w:lineRule="auto"/>
              <w:contextualSpacing/>
              <w:rPr>
                <w:rFonts w:ascii="Segoe UI" w:hAnsi="Segoe UI"/>
                <w:color w:val="0000FF"/>
                <w:u w:val="single"/>
              </w:rPr>
            </w:pPr>
            <w:r>
              <w:rPr>
                <w:rFonts w:ascii="Segoe UI" w:hAnsi="Segoe UI"/>
                <w:color w:val="0000FF"/>
                <w:u w:val="single"/>
              </w:rPr>
              <w:t>https://t.me/kadastr_kuban</w:t>
            </w:r>
          </w:p>
        </w:tc>
      </w:tr>
    </w:tbl>
    <w:p w:rsidR="0060730A" w:rsidRDefault="0060730A">
      <w:pPr>
        <w:spacing w:after="0" w:line="360" w:lineRule="auto"/>
        <w:jc w:val="both"/>
        <w:rPr>
          <w:rFonts w:ascii="Times New Roman" w:hAnsi="Times New Roman"/>
          <w:sz w:val="28"/>
        </w:rPr>
      </w:pPr>
    </w:p>
    <w:sectPr w:rsidR="0060730A">
      <w:footerReference w:type="even" r:id="rId12"/>
      <w:footerReference w:type="default" r:id="rId13"/>
      <w:footerReference w:type="first" r:id="rId14"/>
      <w:pgSz w:w="11906" w:h="16838"/>
      <w:pgMar w:top="1134" w:right="567" w:bottom="1134" w:left="1134" w:header="0" w:footer="709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D6AB7">
      <w:pPr>
        <w:spacing w:after="0" w:line="240" w:lineRule="auto"/>
      </w:pPr>
      <w:r>
        <w:separator/>
      </w:r>
    </w:p>
  </w:endnote>
  <w:endnote w:type="continuationSeparator" w:id="0">
    <w:p w:rsidR="00000000" w:rsidRDefault="008D6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30A" w:rsidRDefault="0060730A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30A" w:rsidRDefault="008D6AB7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ул. </w:t>
    </w:r>
    <w:proofErr w:type="spellStart"/>
    <w:r>
      <w:rPr>
        <w:rFonts w:ascii="Times New Roman" w:hAnsi="Times New Roman"/>
        <w:sz w:val="20"/>
      </w:rPr>
      <w:t>Сормовская</w:t>
    </w:r>
    <w:proofErr w:type="spellEnd"/>
    <w:r>
      <w:rPr>
        <w:rFonts w:ascii="Times New Roman" w:hAnsi="Times New Roman"/>
        <w:sz w:val="20"/>
      </w:rPr>
      <w:t>, д. 3, 350018</w:t>
    </w:r>
  </w:p>
  <w:p w:rsidR="0060730A" w:rsidRDefault="008D6AB7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press23@23.kadastr.ru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30A" w:rsidRDefault="008D6AB7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ул. </w:t>
    </w:r>
    <w:proofErr w:type="spellStart"/>
    <w:r>
      <w:rPr>
        <w:rFonts w:ascii="Times New Roman" w:hAnsi="Times New Roman"/>
        <w:sz w:val="20"/>
      </w:rPr>
      <w:t>Сормовская</w:t>
    </w:r>
    <w:proofErr w:type="spellEnd"/>
    <w:r>
      <w:rPr>
        <w:rFonts w:ascii="Times New Roman" w:hAnsi="Times New Roman"/>
        <w:sz w:val="20"/>
      </w:rPr>
      <w:t>, д. 3, 350018</w:t>
    </w:r>
  </w:p>
  <w:p w:rsidR="0060730A" w:rsidRDefault="008D6AB7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press23@23.kadastr.ru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D6AB7">
      <w:pPr>
        <w:spacing w:after="0" w:line="240" w:lineRule="auto"/>
      </w:pPr>
      <w:r>
        <w:separator/>
      </w:r>
    </w:p>
  </w:footnote>
  <w:footnote w:type="continuationSeparator" w:id="0">
    <w:p w:rsidR="00000000" w:rsidRDefault="008D6A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30A"/>
    <w:rsid w:val="0060730A"/>
    <w:rsid w:val="008D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DEE88-AC1F-441C-81D8-24FFB3E4D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6">
    <w:name w:val="Оглавление 6 Знак"/>
    <w:link w:val="60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Pr>
      <w:rFonts w:ascii="XO Thames" w:hAnsi="XO Thames"/>
      <w:sz w:val="28"/>
    </w:rPr>
  </w:style>
  <w:style w:type="character" w:customStyle="1" w:styleId="a3">
    <w:name w:val="Обычный (веб) Знак"/>
    <w:basedOn w:val="1"/>
    <w:link w:val="a4"/>
    <w:qFormat/>
    <w:rPr>
      <w:rFonts w:ascii="Times New Roman" w:hAnsi="Times New Roman"/>
      <w:sz w:val="24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character" w:styleId="a5">
    <w:name w:val="Hyperlink"/>
    <w:basedOn w:val="a0"/>
    <w:link w:val="12"/>
    <w:rPr>
      <w:color w:val="0000FF" w:themeColor="hyperlink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4"/>
    <w:qFormat/>
    <w:rPr>
      <w:rFonts w:ascii="XO Thames" w:hAnsi="XO Thames"/>
      <w:b/>
      <w:sz w:val="28"/>
    </w:rPr>
  </w:style>
  <w:style w:type="character" w:customStyle="1" w:styleId="a6">
    <w:name w:val="Текст выноски Знак"/>
    <w:basedOn w:val="1"/>
    <w:link w:val="a7"/>
    <w:qFormat/>
    <w:rPr>
      <w:rFonts w:ascii="Tahoma" w:hAnsi="Tahoma"/>
      <w:sz w:val="16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8">
    <w:name w:val="Оглавление 8 Знак"/>
    <w:link w:val="80"/>
    <w:qFormat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a8">
    <w:name w:val="Подзаголовок Знак"/>
    <w:link w:val="a9"/>
    <w:qFormat/>
    <w:rPr>
      <w:rFonts w:ascii="XO Thames" w:hAnsi="XO Thames"/>
      <w:i/>
      <w:sz w:val="24"/>
    </w:rPr>
  </w:style>
  <w:style w:type="character" w:customStyle="1" w:styleId="aa">
    <w:name w:val="Заголовок Знак"/>
    <w:link w:val="ab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customStyle="1" w:styleId="ac">
    <w:name w:val="Абзац списка Знак"/>
    <w:basedOn w:val="1"/>
    <w:link w:val="ad"/>
    <w:qFormat/>
  </w:style>
  <w:style w:type="character" w:styleId="ae">
    <w:name w:val="FollowedHyperlink"/>
    <w:basedOn w:val="a0"/>
    <w:uiPriority w:val="99"/>
    <w:semiHidden/>
    <w:unhideWhenUsed/>
    <w:rsid w:val="00E41D94"/>
    <w:rPr>
      <w:color w:val="800080" w:themeColor="followedHyperlink"/>
      <w:u w:val="single"/>
    </w:rPr>
  </w:style>
  <w:style w:type="character" w:styleId="af">
    <w:name w:val="Emphasis"/>
    <w:basedOn w:val="a0"/>
    <w:uiPriority w:val="20"/>
    <w:qFormat/>
    <w:rsid w:val="00A4151A"/>
    <w:rPr>
      <w:i/>
      <w:iCs/>
    </w:rPr>
  </w:style>
  <w:style w:type="character" w:customStyle="1" w:styleId="linenumber1">
    <w:name w:val="line number1"/>
    <w:qFormat/>
  </w:style>
  <w:style w:type="character" w:styleId="af0">
    <w:name w:val="line number"/>
  </w:style>
  <w:style w:type="character" w:styleId="af1">
    <w:name w:val="Strong"/>
    <w:qFormat/>
    <w:rPr>
      <w:b/>
      <w:bCs/>
    </w:rPr>
  </w:style>
  <w:style w:type="paragraph" w:styleId="ab">
    <w:name w:val="Title"/>
    <w:next w:val="af2"/>
    <w:link w:val="aa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paragraph" w:styleId="af2">
    <w:name w:val="Body Text"/>
    <w:basedOn w:val="a"/>
    <w:pPr>
      <w:spacing w:after="140"/>
    </w:pPr>
  </w:style>
  <w:style w:type="paragraph" w:styleId="af3">
    <w:name w:val="List"/>
    <w:basedOn w:val="af2"/>
    <w:rPr>
      <w:rFonts w:ascii="Times New Roman" w:hAnsi="Times New Roman" w:cs="Noto Sans Devanagari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af5">
    <w:name w:val="index heading"/>
    <w:basedOn w:val="a"/>
    <w:qFormat/>
    <w:pPr>
      <w:suppressLineNumbers/>
    </w:pPr>
    <w:rPr>
      <w:rFonts w:ascii="Times New Roman" w:hAnsi="Times New Roman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22">
    <w:name w:val="toc 2"/>
    <w:next w:val="a"/>
    <w:link w:val="21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paragraph" w:styleId="60">
    <w:name w:val="toc 6"/>
    <w:next w:val="a"/>
    <w:link w:val="6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paragraph" w:styleId="a4">
    <w:name w:val="Normal (Web)"/>
    <w:basedOn w:val="a"/>
    <w:link w:val="a3"/>
    <w:uiPriority w:val="99"/>
    <w:qFormat/>
    <w:pPr>
      <w:spacing w:before="280" w:after="280" w:line="240" w:lineRule="auto"/>
    </w:pPr>
    <w:rPr>
      <w:rFonts w:ascii="Times New Roman" w:hAnsi="Times New Roman"/>
      <w:sz w:val="24"/>
    </w:rPr>
  </w:style>
  <w:style w:type="paragraph" w:customStyle="1" w:styleId="Endnote1">
    <w:name w:val="Endnote1"/>
    <w:link w:val="End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32">
    <w:name w:val="toc 3"/>
    <w:next w:val="a"/>
    <w:link w:val="31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15">
    <w:name w:val="Основной шрифт абзаца1"/>
    <w:qFormat/>
    <w:pPr>
      <w:spacing w:after="200" w:line="276" w:lineRule="auto"/>
    </w:pPr>
  </w:style>
  <w:style w:type="paragraph" w:customStyle="1" w:styleId="12">
    <w:name w:val="Гиперссылка1"/>
    <w:basedOn w:val="15"/>
    <w:link w:val="a5"/>
    <w:qFormat/>
    <w:rPr>
      <w:color w:val="0000FF" w:themeColor="hyperlink"/>
      <w:u w:val="single"/>
    </w:rPr>
  </w:style>
  <w:style w:type="paragraph" w:customStyle="1" w:styleId="Footnote1">
    <w:name w:val="Footnote1"/>
    <w:link w:val="Foot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14">
    <w:name w:val="toc 1"/>
    <w:next w:val="a"/>
    <w:link w:val="13"/>
    <w:uiPriority w:val="39"/>
    <w:pPr>
      <w:spacing w:after="200" w:line="276" w:lineRule="auto"/>
    </w:pPr>
    <w:rPr>
      <w:rFonts w:ascii="XO Thames" w:hAnsi="XO Thames"/>
      <w:b/>
      <w:sz w:val="28"/>
    </w:rPr>
  </w:style>
  <w:style w:type="paragraph" w:styleId="a7">
    <w:name w:val="Balloon Text"/>
    <w:basedOn w:val="a"/>
    <w:link w:val="a6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af6">
    <w:name w:val="Колонтитул"/>
    <w:qFormat/>
    <w:pPr>
      <w:spacing w:after="200"/>
      <w:jc w:val="both"/>
    </w:pPr>
    <w:rPr>
      <w:rFonts w:ascii="XO Thames" w:hAnsi="XO Thames"/>
      <w:sz w:val="28"/>
    </w:rPr>
  </w:style>
  <w:style w:type="paragraph" w:styleId="90">
    <w:name w:val="toc 9"/>
    <w:next w:val="a"/>
    <w:link w:val="9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paragraph" w:styleId="80">
    <w:name w:val="toc 8"/>
    <w:next w:val="a"/>
    <w:link w:val="8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paragraph" w:styleId="52">
    <w:name w:val="toc 5"/>
    <w:next w:val="a"/>
    <w:link w:val="51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paragraph" w:styleId="a9">
    <w:name w:val="Subtitle"/>
    <w:next w:val="a"/>
    <w:link w:val="a8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paragraph" w:styleId="ad">
    <w:name w:val="List Paragraph"/>
    <w:basedOn w:val="a"/>
    <w:link w:val="ac"/>
    <w:qFormat/>
    <w:pPr>
      <w:ind w:left="720"/>
      <w:contextualSpacing/>
    </w:pPr>
  </w:style>
  <w:style w:type="paragraph" w:customStyle="1" w:styleId="HeaderandFooter1">
    <w:name w:val="Header and Footer1"/>
    <w:basedOn w:val="a"/>
    <w:qFormat/>
  </w:style>
  <w:style w:type="paragraph" w:styleId="af7">
    <w:name w:val="footer"/>
    <w:basedOn w:val="af6"/>
  </w:style>
  <w:style w:type="paragraph" w:styleId="af8">
    <w:name w:val="Revision"/>
    <w:uiPriority w:val="99"/>
    <w:semiHidden/>
    <w:qFormat/>
    <w:rsid w:val="007E0D0A"/>
    <w:pPr>
      <w:suppressAutoHyphens w:val="0"/>
    </w:pPr>
  </w:style>
  <w:style w:type="numbering" w:customStyle="1" w:styleId="af9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23@23.kadastr.ru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524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Котова Юлия Михайловна</dc:creator>
  <dc:description/>
  <cp:lastModifiedBy>Скорнякова Виктория Алексеевна</cp:lastModifiedBy>
  <cp:revision>7</cp:revision>
  <dcterms:created xsi:type="dcterms:W3CDTF">2026-04-08T09:44:00Z</dcterms:created>
  <dcterms:modified xsi:type="dcterms:W3CDTF">2026-10-05T14:33:00Z</dcterms:modified>
  <dc:language>ru-RU</dc:language>
</cp:coreProperties>
</file>