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  <w:t>Приложение 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>ТИПОВОЙ 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мероприятий, организованных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учреждениями культуры в МО Павловский район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lang w:val="ru-RU"/>
              </w:rPr>
              <w:t>в 4</w:t>
            </w:r>
            <w:r>
              <w:rPr>
                <w:u w:val="single"/>
                <w:lang w:val="ru-RU"/>
              </w:rPr>
              <w:t xml:space="preserve"> кв. 202</w:t>
            </w:r>
            <w:r>
              <w:rPr>
                <w:u w:val="single"/>
                <w:lang w:val="ru-RU"/>
              </w:rPr>
              <w:t>5</w:t>
            </w:r>
            <w:r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459" w:hanging="0"/>
                    <w:jc w:val="center"/>
                    <w:rPr>
                      <w:b/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2.1. Мероприятия, организованные по инициативе подразделений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2.2. Мероприятия, организованные по инициативе управления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«Со здоровьем не шути, его с детства береги!  - информационный час,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.10.202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color w:val="000000"/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.10.202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 xml:space="preserve">«От сигареты откажись, и без неё прекрасна жизнь» - </w:t>
                  </w: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 xml:space="preserve">тематический час </w:t>
                  </w: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>к Международному дню отказа от курения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4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.11.202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5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.11.202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«СПИД - плата за беспечность»  - тематическ</w:t>
                  </w: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ий час,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10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6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 w:bidi="ar-SA"/>
                    </w:rPr>
                    <w:t>01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.12.202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8-967-651-19-37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7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.12.202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8-967-651-19-37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hyperlink" Target="https://nikon-bibl.pavkult.ru/" TargetMode="External"/><Relationship Id="rId5" Type="http://schemas.openxmlformats.org/officeDocument/2006/relationships/hyperlink" Target="https://nikon-bibl.pavkult.ru/" TargetMode="External"/><Relationship Id="rId6" Type="http://schemas.openxmlformats.org/officeDocument/2006/relationships/hyperlink" Target="https://nikon-bibl.pavkult.ru/" TargetMode="External"/><Relationship Id="rId7" Type="http://schemas.openxmlformats.org/officeDocument/2006/relationships/hyperlink" Target="https://nikon-bibl.pavkult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Application>LibreOffice/7.4.2.3$Windows_X86_64 LibreOffice_project/382eef1f22670f7f4118c8c2dd222ec7ad009daf</Application>
  <AppVersion>15.0000</AppVersion>
  <Pages>3</Pages>
  <Words>418</Words>
  <Characters>3129</Characters>
  <CharactersWithSpaces>3430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2024-11-27T13:25:27Z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