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>Апрель</w:t>
            </w:r>
            <w:r>
              <w:rPr>
                <w:b/>
                <w:bCs/>
                <w:u w:val="none"/>
                <w:lang w:val="ru-RU"/>
              </w:rPr>
              <w:t xml:space="preserve"> 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sz w:val="24"/>
                      <w:szCs w:val="24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«На вредные привычки времени нет» тематическая программа,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05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.04.2024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05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.04.2024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Блинова Л.В.</w:t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/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 xml:space="preserve">Заведующий сектором по работе с </w:t>
                  </w:r>
                  <w:r>
                    <w:rPr>
                      <w:rStyle w:val="Style15"/>
                      <w:rFonts w:eastAsia="Calibri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 w:eastAsia="zh-CN" w:bidi="ar-SA"/>
                    </w:rPr>
                    <w:t>юношеством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8-918-374-20- 28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LibreOffice/7.4.2.3$Windows_X86_64 LibreOffice_project/382eef1f22670f7f4118c8c2dd222ec7ad009daf</Application>
  <AppVersion>15.0000</AppVersion>
  <Pages>1</Pages>
  <Words>141</Words>
  <Characters>1063</Characters>
  <CharactersWithSpaces>1159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2024-08-19T14:46:09Z</dcterms:modified>
  <cp:revision>204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