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                      «Детский сад №17 «Росинка»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/>
    </w:p>
    <w:p>
      <w:pPr>
        <w:pStyle w:val="864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64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64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идактическое пособие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детей дошкольного возраста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Лэпбук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Кукла Неваляшка, яркая рубашка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sz w:val="28"/>
          <w:szCs w:val="28"/>
        </w:rPr>
        <w:t xml:space="preserve">в двух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частях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/>
    </w:p>
    <w:p>
      <w:pPr>
        <w:pStyle w:val="864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15932" cy="3407903"/>
                <wp:effectExtent l="19050" t="0" r="3618" b="0"/>
                <wp:docPr id="1" name="Рисунок 4" descr="IMG_20221122_1256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20221122_125650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2348" t="8584" r="8909" b="1930"/>
                        <a:stretch/>
                      </pic:blipFill>
                      <pic:spPr bwMode="auto">
                        <a:xfrm>
                          <a:off x="0" y="0"/>
                          <a:ext cx="4015932" cy="3407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16.2pt;height:268.3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64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65"/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/>
    </w:p>
    <w:p>
      <w:pPr>
        <w:pStyle w:val="865"/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/>
    </w:p>
    <w:p>
      <w:pPr>
        <w:pStyle w:val="865"/>
        <w:jc w:val="center"/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Воспитатель: Ручкина Светлана Михайловна</w:t>
      </w:r>
      <w:r/>
    </w:p>
    <w:p>
      <w:pPr>
        <w:pStyle w:val="864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64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64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64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/>
    </w:p>
    <w:p>
      <w:pPr>
        <w:pStyle w:val="866"/>
        <w:ind w:firstLine="709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записка:</w:t>
      </w:r>
      <w:r/>
    </w:p>
    <w:p>
      <w:pPr>
        <w:pStyle w:val="86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Главное условие работы с дошкольниками – ориентироваться на их возможности, развивать деятельность, направленную на изучение мира и окружающего пространства, развивать познавательные способности детей.</w:t>
      </w:r>
      <w:r>
        <w:rPr>
          <w:sz w:val="28"/>
          <w:szCs w:val="28"/>
        </w:rPr>
        <w:t xml:space="preserve"> Одним из способов развития познавательных способностей детей, который я применяю в своей работе, является лэпбук.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Лэпбук</w:t>
      </w:r>
      <w:r>
        <w:rPr>
          <w:rFonts w:ascii="Times New Roman" w:hAnsi="Times New Roman" w:cs="Times New Roman"/>
          <w:sz w:val="28"/>
          <w:szCs w:val="28"/>
        </w:rPr>
        <w:t xml:space="preserve"> является средством развивающего обучения и предполагает использование современных технологий: технологии организации коллективной творческой деятельности, технологии проектной деятельности, коммуникативных технологий, игровых технологий. 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Лэпбук подходит как для индивидуальных занятий, так и для групповых игр детей разного возраста.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Актуальность: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Лэпбук — это интерактивная папка-путешествие детей в мир изучаемой темы.</w:t>
      </w:r>
      <w:r>
        <w:rPr>
          <w:rFonts w:ascii="Roboto" w:hAnsi="Roboto"/>
          <w:sz w:val="2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содержание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лэпбука даёт возможность использовать тематическую папку в разных видах 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тской деятельности, интегрировать образовательные области, организовывать совместную игровую и образовательную деятельность с детьми, самостоятельное общение дошкольников, развивать познавательную и творческую активность детей, развивать мелкую моторику.  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Особенно актуально использование  лэпбуков  в разновозрастных группах, как в нашем детском саду, когда  можно выбрать задания под силу каждому ребенку (например, для малышей – кармашки с карточками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подбора предметов по цвету, а старшим детям – задания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умение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находить взаимосвязь между предметами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  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детей лэпбук – это игра, для педагогов – своеобразная образовательная технология, которая развивает любознательность и инициативность дошкольников.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Освоение материала проходит через разные чувства восприятия ребенка: слух, зрение и самое главное - манипуляции руками.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своей работе я использую лэпбуки, посвященные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яркой жизнерадостной игрушке Неваляшке.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Неваляшка относится к тем игрушкам, которые делают детей добрее, вызывают радостные эмоции, приобщают детей к народным традициям.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 </w:t>
      </w:r>
      <w:r>
        <w:rPr>
          <w:rFonts w:ascii="Times New Roman" w:hAnsi="Times New Roman" w:eastAsia="Times New Roman" w:cs="Times New Roman"/>
          <w:sz w:val="28"/>
          <w:szCs w:val="18"/>
        </w:rPr>
        <w:t xml:space="preserve">игрушка, будучи культурным явлением, закладывает в сознании ребёнка понятие о красоте, дает яркие, запоминающиеся образы</w:t>
      </w:r>
      <w:r>
        <w:rPr>
          <w:rFonts w:ascii="Times New Roman" w:hAnsi="Times New Roman" w:eastAsia="Times New Roman" w:cs="Times New Roman"/>
          <w:sz w:val="28"/>
          <w:szCs w:val="18"/>
        </w:rPr>
        <w:t xml:space="preserve">. Неваляшка относится к тем игрушкам, которые необходимы детям для гармоничного развития личности, побуждает познавать мир, исследовать его. Ее полезные развивающие качества проверены не годами, а столетиями.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Дидактическое пособие - лэпбук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«Кукла Неваляшка, яркая рубашка» (в двух частях)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две тематические интерактивные картонные папки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формата А4</w:t>
      </w:r>
      <w:r>
        <w:rPr>
          <w:rFonts w:ascii="Times New Roman" w:hAnsi="Times New Roman" w:cs="Times New Roman"/>
          <w:sz w:val="28"/>
          <w:szCs w:val="28"/>
        </w:rPr>
        <w:t xml:space="preserve">, на страницах которых имеются различные кармашки, карточки, картинки для рассматривания,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книжки-малышки, конвертики, </w:t>
      </w:r>
      <w:r>
        <w:rPr>
          <w:rFonts w:ascii="Times New Roman" w:hAnsi="Times New Roman" w:cs="Times New Roman"/>
          <w:sz w:val="28"/>
          <w:szCs w:val="28"/>
        </w:rPr>
        <w:t xml:space="preserve">в которых собран игровой материал.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особие  предназначено для детей дошкольного возр</w:t>
      </w:r>
      <w:r>
        <w:rPr>
          <w:rFonts w:ascii="Times New Roman" w:hAnsi="Times New Roman" w:cs="Times New Roman"/>
          <w:sz w:val="28"/>
          <w:szCs w:val="28"/>
        </w:rPr>
        <w:t xml:space="preserve">аста (от 2 до 6 лет), </w:t>
      </w:r>
      <w:r>
        <w:rPr>
          <w:rFonts w:ascii="Times New Roman" w:hAnsi="Times New Roman" w:cs="Times New Roman"/>
          <w:sz w:val="28"/>
          <w:szCs w:val="28"/>
        </w:rPr>
        <w:t xml:space="preserve">задания и дидактические игры  могут меняться и пополняться в зависимости от возраста детей.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азвивать познавательные способности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детей посредством развивающих заданий и игр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мотивировать детей на выполнение творческих работ,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способствовать проявлению самостоятельности, активности в игре с персонажами-игрушками.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Образовательные: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pStyle w:val="867"/>
        <w:numPr>
          <w:ilvl w:val="0"/>
          <w:numId w:val="11"/>
        </w:numPr>
        <w:ind w:left="0"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детей с историей появления игрушки неваляшки, ее разновидностью; </w:t>
      </w:r>
      <w:r/>
    </w:p>
    <w:p>
      <w:pPr>
        <w:pStyle w:val="867"/>
        <w:numPr>
          <w:ilvl w:val="0"/>
          <w:numId w:val="11"/>
        </w:numPr>
        <w:ind w:left="0"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с историей создания игрушки неваляшки в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</w:p>
    <w:p>
      <w:pPr>
        <w:pStyle w:val="867"/>
        <w:numPr>
          <w:ilvl w:val="0"/>
          <w:numId w:val="11"/>
        </w:numPr>
        <w:ind w:left="0"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формировать представление о старинных и современных куклах-неваляшках;</w:t>
      </w:r>
      <w:r/>
    </w:p>
    <w:p>
      <w:pPr>
        <w:pStyle w:val="867"/>
        <w:numPr>
          <w:ilvl w:val="0"/>
          <w:numId w:val="11"/>
        </w:numPr>
        <w:ind w:left="0"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обогащать познавательный опыт детей;</w:t>
      </w:r>
      <w:r/>
    </w:p>
    <w:p>
      <w:pPr>
        <w:pStyle w:val="867"/>
        <w:numPr>
          <w:ilvl w:val="0"/>
          <w:numId w:val="11"/>
        </w:numPr>
        <w:ind w:left="0"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 к русским промыслам и традиционным игрушкам наших предков;</w:t>
      </w:r>
      <w:r/>
    </w:p>
    <w:p>
      <w:pPr>
        <w:pStyle w:val="867"/>
        <w:numPr>
          <w:ilvl w:val="0"/>
          <w:numId w:val="11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обогащать и расширять словарный запас детей.</w:t>
      </w:r>
      <w:r/>
    </w:p>
    <w:p>
      <w:pPr>
        <w:contextualSpacing/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Развивающие:</w:t>
      </w:r>
      <w:r/>
    </w:p>
    <w:p>
      <w:pPr>
        <w:pStyle w:val="867"/>
        <w:numPr>
          <w:ilvl w:val="0"/>
          <w:numId w:val="14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умение находить отличительные признаки игрушек неваляшек, узнавать их и правильно называть;</w:t>
      </w:r>
      <w:r/>
    </w:p>
    <w:p>
      <w:pPr>
        <w:pStyle w:val="867"/>
        <w:numPr>
          <w:ilvl w:val="0"/>
          <w:numId w:val="14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 к художественной литературе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народных игрушк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ах: Ваньке-встаньке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неваляшке;</w:t>
      </w:r>
      <w:r/>
    </w:p>
    <w:p>
      <w:pPr>
        <w:pStyle w:val="867"/>
        <w:numPr>
          <w:ilvl w:val="0"/>
          <w:numId w:val="14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развивать коммуникабельность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умение общаться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детьми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взрослыми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</w:p>
    <w:p>
      <w:pPr>
        <w:pStyle w:val="867"/>
        <w:numPr>
          <w:ilvl w:val="0"/>
          <w:numId w:val="14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развивать познавательные и умственные способности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детей; </w:t>
      </w:r>
      <w:r/>
    </w:p>
    <w:p>
      <w:pPr>
        <w:pStyle w:val="867"/>
        <w:numPr>
          <w:ilvl w:val="0"/>
          <w:numId w:val="14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речь,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мелкую моторику рук;</w:t>
      </w:r>
      <w:r/>
    </w:p>
    <w:p>
      <w:pPr>
        <w:pStyle w:val="867"/>
        <w:numPr>
          <w:ilvl w:val="0"/>
          <w:numId w:val="14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развивать желание выполнять совместные игровые задания.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Воспитательные:</w:t>
      </w:r>
      <w:r/>
    </w:p>
    <w:p>
      <w:pPr>
        <w:pStyle w:val="867"/>
        <w:numPr>
          <w:ilvl w:val="0"/>
          <w:numId w:val="1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воспитывать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любовь и уважение к традиционным игрушкам и народному искусству;</w:t>
      </w:r>
      <w:r/>
    </w:p>
    <w:p>
      <w:pPr>
        <w:pStyle w:val="867"/>
        <w:numPr>
          <w:ilvl w:val="0"/>
          <w:numId w:val="1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воспитанию у детей добрых чувств;</w:t>
      </w:r>
      <w:r/>
    </w:p>
    <w:p>
      <w:pPr>
        <w:pStyle w:val="867"/>
        <w:numPr>
          <w:ilvl w:val="0"/>
          <w:numId w:val="1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воспитывать бережное отно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шение к игруш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кам.</w:t>
      </w:r>
      <w:r/>
    </w:p>
    <w:p>
      <w:pPr>
        <w:pStyle w:val="867"/>
        <w:ind w:left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/>
    </w:p>
    <w:p>
      <w:pPr>
        <w:pStyle w:val="867"/>
        <w:ind w:left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/>
    </w:p>
    <w:p>
      <w:pPr>
        <w:pStyle w:val="867"/>
        <w:ind w:left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Описание возможностей использования лэпбуков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совместной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деятельности  взрослого 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ребенком 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самостоятельной деятельности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детей: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Лэпбуки «Кукла Неваляшка, яркая рубашка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содержат разнообразный занимательный и познавательный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атериал по речевому, социально-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коммуникативному, художественно-эстетическому, познавательному и физическому развитию детей дошкольного возраста. Способствуют реализации самостоятельной творческой деятельности детей, расширяют возможности ребенка воспринимать окружающий мир.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Собранная в лэпбуках информация содействует лучшему пониманию и запоминанию изучаемого материала, способствует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звитию интереса к народным игрушкам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лэпбуки входят развивающие игры и упражнения для расширения знаний детей, игры на развитие мелкой моторики, материалы для познавательно-исследовательской деятельности детей.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Подобранный материал позволяет разнообразить методы и приемы работы, использовать в разных видах деятельности (игровой, коммуникативной, познавательно-исследовательской, изобразительной и др.), обеспечить самостоятельную и совм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естную деятельность детей (для некоторых игр нужен один или несколько партнеров – сверстник или педагог).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отличительный способ для повторения и закрепления пройденного материала. В любое удобное время ребенок просто открывает лэпбук и с радостью повторяет пройденное, рассматривая</w:t>
      </w:r>
      <w:r>
        <w:rPr>
          <w:rFonts w:ascii="Times New Roman" w:hAnsi="Times New Roman" w:cs="Times New Roman"/>
          <w:sz w:val="28"/>
          <w:szCs w:val="28"/>
        </w:rPr>
        <w:t xml:space="preserve"> сделанную своими руками книжку.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Идеальный вариант изготовления тематической папки – совместно с ребенком, тогда он запоминает информацию в процессе создания лэпбука.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структура лэпбуков позволяет в любое время дополнить </w:t>
      </w:r>
      <w:r>
        <w:rPr>
          <w:rFonts w:ascii="Times New Roman" w:hAnsi="Times New Roman" w:cs="Times New Roman"/>
          <w:sz w:val="28"/>
          <w:szCs w:val="28"/>
        </w:rPr>
        <w:t xml:space="preserve">папку материалами, играми, заданиями.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опыта использования лэпбук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Кукла Неваляшка, яркая рубашка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(в двух частях)</w:t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tabs>
          <w:tab w:val="left" w:pos="2520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Результаты  наблюдения педагогического  процесса  показали,  что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дети стали активно взаимодействовать со сверстниками и взрослыми, проявлять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интерес  к  участию  в  совместной  деятельности.  Значительно  вырос познавательный  интерес,  любознательность,  самостоятельность  и инициативность  в  решении  поставленных  задач.  Изучаемый  материал успешно используется детьми в повседневной жизни.</w:t>
      </w:r>
      <w:r/>
    </w:p>
    <w:p>
      <w:pPr>
        <w:pStyle w:val="866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Лэпбук </w:t>
      </w:r>
      <w:r>
        <w:rPr>
          <w:sz w:val="28"/>
          <w:szCs w:val="28"/>
        </w:rPr>
        <w:t xml:space="preserve">актуален и эффективен</w:t>
      </w:r>
      <w:r>
        <w:rPr>
          <w:sz w:val="28"/>
          <w:szCs w:val="28"/>
        </w:rPr>
        <w:t xml:space="preserve"> при использовании в воспитательно-образовательной процессе с детьми разного возраста в ДОО.</w:t>
      </w:r>
      <w:r>
        <w:rPr>
          <w:sz w:val="28"/>
          <w:szCs w:val="28"/>
        </w:rPr>
        <w:t xml:space="preserve"> При работе с лэпбуком</w:t>
      </w:r>
      <w:r>
        <w:rPr>
          <w:sz w:val="28"/>
          <w:szCs w:val="28"/>
        </w:rPr>
        <w:t xml:space="preserve">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  <w:r/>
    </w:p>
    <w:p>
      <w:pPr>
        <w:pStyle w:val="866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Таким образом, лэпбук</w:t>
      </w:r>
      <w:r>
        <w:rPr>
          <w:sz w:val="28"/>
          <w:szCs w:val="28"/>
        </w:rPr>
        <w:t xml:space="preserve"> способствуе</w:t>
      </w:r>
      <w:r>
        <w:rPr>
          <w:sz w:val="28"/>
          <w:szCs w:val="28"/>
        </w:rPr>
        <w:t xml:space="preserve">т развитию познавательных способностей детей при  взаимодействии всех участников образовательного процесса.</w:t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Заведующий МБДОУ «Д/с № 17 «Росинка»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Е.М. Сморж               </w:t>
      </w:r>
      <w:r/>
    </w:p>
    <w:p>
      <w:pPr>
        <w:ind w:firstLine="709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1134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092880"/>
      <w:docPartObj>
        <w:docPartGallery w:val="Page Numbers (Bottom of Page)"/>
        <w:docPartUnique w:val="true"/>
      </w:docPartObj>
      <w:rPr/>
    </w:sdtPr>
    <w:sdtContent>
      <w:p>
        <w:pPr>
          <w:pStyle w:val="874"/>
          <w:jc w:val="right"/>
        </w:pPr>
        <w:fldSimple w:instr="PAGE \* MERGEFORMAT">
          <w:r>
            <w:t xml:space="preserve">2</w:t>
          </w:r>
        </w:fldSimple>
        <w:r/>
        <w:r/>
      </w:p>
    </w:sdtContent>
  </w:sdt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9"/>
    <w:next w:val="8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0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9"/>
    <w:next w:val="859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0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0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0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0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0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0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0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59"/>
    <w:next w:val="859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0"/>
    <w:link w:val="705"/>
    <w:uiPriority w:val="10"/>
    <w:rPr>
      <w:sz w:val="48"/>
      <w:szCs w:val="48"/>
    </w:rPr>
  </w:style>
  <w:style w:type="paragraph" w:styleId="707">
    <w:name w:val="Subtitle"/>
    <w:basedOn w:val="859"/>
    <w:next w:val="859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0"/>
    <w:link w:val="707"/>
    <w:uiPriority w:val="11"/>
    <w:rPr>
      <w:sz w:val="24"/>
      <w:szCs w:val="24"/>
    </w:rPr>
  </w:style>
  <w:style w:type="paragraph" w:styleId="709">
    <w:name w:val="Quote"/>
    <w:basedOn w:val="859"/>
    <w:next w:val="859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9"/>
    <w:next w:val="859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0"/>
    <w:link w:val="872"/>
    <w:uiPriority w:val="99"/>
  </w:style>
  <w:style w:type="character" w:styleId="714">
    <w:name w:val="Footer Char"/>
    <w:basedOn w:val="860"/>
    <w:link w:val="874"/>
    <w:uiPriority w:val="99"/>
  </w:style>
  <w:style w:type="paragraph" w:styleId="715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74"/>
    <w:uiPriority w:val="99"/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>
    <w:name w:val="Strong"/>
    <w:uiPriority w:val="22"/>
    <w:qFormat/>
    <w:rPr>
      <w:rFonts w:cs="Times New Roman"/>
      <w:b/>
      <w:bCs/>
    </w:rPr>
  </w:style>
  <w:style w:type="paragraph" w:styleId="864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65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866">
    <w:name w:val="Normal (Web)"/>
    <w:basedOn w:val="859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67">
    <w:name w:val="List Paragraph"/>
    <w:basedOn w:val="859"/>
    <w:uiPriority w:val="99"/>
    <w:qFormat/>
    <w:pPr>
      <w:contextualSpacing/>
      <w:ind w:left="720"/>
    </w:pPr>
  </w:style>
  <w:style w:type="character" w:styleId="868">
    <w:name w:val="Hyperlink"/>
    <w:basedOn w:val="860"/>
    <w:uiPriority w:val="99"/>
    <w:semiHidden/>
    <w:unhideWhenUsed/>
    <w:rPr>
      <w:color w:val="0000ff"/>
      <w:u w:val="single"/>
    </w:rPr>
  </w:style>
  <w:style w:type="table" w:styleId="869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>
    <w:name w:val="Balloon Text"/>
    <w:basedOn w:val="859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860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Header"/>
    <w:basedOn w:val="859"/>
    <w:link w:val="87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0"/>
    <w:link w:val="872"/>
    <w:uiPriority w:val="99"/>
    <w:semiHidden/>
  </w:style>
  <w:style w:type="paragraph" w:styleId="874">
    <w:name w:val="Footer"/>
    <w:basedOn w:val="859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0"/>
    <w:link w:val="8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2D6F-63CE-4A8D-997D-9378D084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rosinka rosinka17</cp:lastModifiedBy>
  <cp:revision>9</cp:revision>
  <dcterms:created xsi:type="dcterms:W3CDTF">2019-02-02T17:05:00Z</dcterms:created>
  <dcterms:modified xsi:type="dcterms:W3CDTF">2023-05-21T18:27:19Z</dcterms:modified>
</cp:coreProperties>
</file>