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  <w:r w:rsidRPr="0036412E">
        <w:rPr>
          <w:rFonts w:ascii="Times New Roman" w:hAnsi="Times New Roman" w:cs="Times New Roman"/>
        </w:rPr>
        <w:t>АННОТАЦИЯ</w:t>
      </w: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  <w:r w:rsidRPr="0036412E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  <w:r w:rsidRPr="0036412E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  <w:r w:rsidRPr="0036412E">
        <w:rPr>
          <w:rFonts w:ascii="Times New Roman" w:hAnsi="Times New Roman" w:cs="Times New Roman"/>
        </w:rPr>
        <w:t>рабочая программа по учебному предмету</w:t>
      </w:r>
    </w:p>
    <w:p w:rsidR="008C0CEB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</w:p>
    <w:p w:rsidR="001F0D9E" w:rsidRPr="0036412E" w:rsidRDefault="008C0CEB" w:rsidP="0036412E">
      <w:pPr>
        <w:pStyle w:val="a3"/>
        <w:jc w:val="center"/>
        <w:rPr>
          <w:rFonts w:ascii="Times New Roman" w:hAnsi="Times New Roman" w:cs="Times New Roman"/>
        </w:rPr>
      </w:pPr>
      <w:r w:rsidRPr="0036412E">
        <w:rPr>
          <w:rFonts w:ascii="Times New Roman" w:hAnsi="Times New Roman" w:cs="Times New Roman"/>
        </w:rPr>
        <w:t>ПО.01.УП.03. КОНЦЕРТМЕЙСТЕРСКИЙ КЛАСС</w:t>
      </w:r>
    </w:p>
    <w:p w:rsidR="0036412E" w:rsidRPr="0036412E" w:rsidRDefault="0036412E" w:rsidP="0036412E">
      <w:pPr>
        <w:pStyle w:val="a3"/>
        <w:jc w:val="center"/>
        <w:rPr>
          <w:rFonts w:ascii="Times New Roman" w:hAnsi="Times New Roman" w:cs="Times New Roman"/>
        </w:rPr>
      </w:pPr>
    </w:p>
    <w:p w:rsidR="008C0CEB" w:rsidRDefault="008C0CEB" w:rsidP="008C0CEB">
      <w:pPr>
        <w:pStyle w:val="a3"/>
        <w:rPr>
          <w:rFonts w:ascii="Times New Roman" w:hAnsi="Times New Roman" w:cs="Times New Roman"/>
        </w:rPr>
      </w:pPr>
      <w:proofErr w:type="gramStart"/>
      <w:r w:rsidRPr="008C0CEB">
        <w:rPr>
          <w:rFonts w:ascii="Times New Roman" w:hAnsi="Times New Roman" w:cs="Times New Roman"/>
        </w:rPr>
        <w:t>Программа учебного предмета «Концертмейстерский класс» разработана на основе примерной программы по учебному предмету ПО.01УП.03 «Концертмейстерский класс» (Москва 2012 Разработчики:</w:t>
      </w:r>
      <w:proofErr w:type="gramEnd"/>
      <w:r w:rsidRPr="008C0CEB">
        <w:rPr>
          <w:rFonts w:ascii="Times New Roman" w:hAnsi="Times New Roman" w:cs="Times New Roman"/>
        </w:rPr>
        <w:t xml:space="preserve"> </w:t>
      </w:r>
      <w:proofErr w:type="gramStart"/>
      <w:r w:rsidRPr="008C0CEB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8C0CEB">
        <w:rPr>
          <w:rFonts w:ascii="Times New Roman" w:hAnsi="Times New Roman" w:cs="Times New Roman"/>
        </w:rPr>
        <w:t>Мечетина</w:t>
      </w:r>
      <w:proofErr w:type="spellEnd"/>
      <w:r w:rsidRPr="008C0CEB">
        <w:rPr>
          <w:rFonts w:ascii="Times New Roman" w:hAnsi="Times New Roman" w:cs="Times New Roman"/>
        </w:rPr>
        <w:t xml:space="preserve"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заслуженный учитель Российской Федерации с учетом федеральных государственных требований к дополнительной </w:t>
      </w:r>
      <w:proofErr w:type="spellStart"/>
      <w:r w:rsidRPr="008C0CEB">
        <w:rPr>
          <w:rFonts w:ascii="Times New Roman" w:hAnsi="Times New Roman" w:cs="Times New Roman"/>
        </w:rPr>
        <w:t>предпрофессиональной</w:t>
      </w:r>
      <w:proofErr w:type="spellEnd"/>
      <w:r w:rsidRPr="008C0CEB">
        <w:rPr>
          <w:rFonts w:ascii="Times New Roman" w:hAnsi="Times New Roman" w:cs="Times New Roman"/>
        </w:rPr>
        <w:t xml:space="preserve"> программе</w:t>
      </w:r>
      <w:proofErr w:type="gramEnd"/>
      <w:r w:rsidRPr="008C0CEB">
        <w:rPr>
          <w:rFonts w:ascii="Times New Roman" w:hAnsi="Times New Roman" w:cs="Times New Roman"/>
        </w:rPr>
        <w:t xml:space="preserve"> в области музыкального искусства «Фортепиано». </w:t>
      </w:r>
    </w:p>
    <w:p w:rsid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proofErr w:type="gramStart"/>
      <w:r w:rsidRPr="008C0CEB">
        <w:rPr>
          <w:rFonts w:ascii="Times New Roman" w:hAnsi="Times New Roman" w:cs="Times New Roman"/>
        </w:rPr>
        <w:t xml:space="preserve"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обучающихся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транспонирования; на развитие самостоятельности в данных видах деятельности. </w:t>
      </w:r>
      <w:proofErr w:type="gramEnd"/>
    </w:p>
    <w:p w:rsid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801223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Формирование концертмейстерских навыков тесно связано с освоением особенностей ансамблевой игры. </w:t>
      </w:r>
      <w:proofErr w:type="gramStart"/>
      <w:r w:rsidRPr="008C0CEB">
        <w:rPr>
          <w:rFonts w:ascii="Times New Roman" w:hAnsi="Times New Roman" w:cs="Times New Roman"/>
        </w:rPr>
        <w:t>Поэтому в структуре программы «Фортепиано» федеральными государственными требованиями предусмотрены 3 учебных предмета, имеющих общие цели и задачи:</w:t>
      </w:r>
      <w:proofErr w:type="gramEnd"/>
      <w:r w:rsidRPr="008C0CEB">
        <w:rPr>
          <w:rFonts w:ascii="Times New Roman" w:hAnsi="Times New Roman" w:cs="Times New Roman"/>
        </w:rPr>
        <w:t xml:space="preserve"> «Специальность и чтение с листа», «Ансамбль» и «Концертмейстерский класс», которые в совокупности системно и наиболее полно дают </w:t>
      </w:r>
      <w:proofErr w:type="spellStart"/>
      <w:r w:rsidRPr="008C0CEB">
        <w:rPr>
          <w:rFonts w:ascii="Times New Roman" w:hAnsi="Times New Roman" w:cs="Times New Roman"/>
        </w:rPr>
        <w:t>предпрофессиональное</w:t>
      </w:r>
      <w:proofErr w:type="spellEnd"/>
      <w:r w:rsidRPr="008C0CEB">
        <w:rPr>
          <w:rFonts w:ascii="Times New Roman" w:hAnsi="Times New Roman" w:cs="Times New Roman"/>
        </w:rPr>
        <w:t xml:space="preserve">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801223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:rsidR="008C0CEB" w:rsidRP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801223" w:rsidRDefault="008C0CEB" w:rsidP="00801223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Срок реализации учебного предмета «Концертмейстерский класс» по 8- летнему учебному плану может составлять полтора года - 7 класс </w:t>
      </w:r>
      <w:r w:rsidR="00801223">
        <w:rPr>
          <w:rFonts w:ascii="Times New Roman" w:hAnsi="Times New Roman" w:cs="Times New Roman"/>
        </w:rPr>
        <w:t xml:space="preserve">и первое полугодие 8 класса. </w:t>
      </w:r>
    </w:p>
    <w:p w:rsidR="008C0CEB" w:rsidRPr="008C0CEB" w:rsidRDefault="008C0CEB" w:rsidP="00801223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предмета «Концертмейстерский класс».</w:t>
      </w:r>
    </w:p>
    <w:p w:rsidR="008C0CEB" w:rsidRDefault="008C0CEB" w:rsidP="00801223">
      <w:pPr>
        <w:pStyle w:val="a3"/>
        <w:jc w:val="right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4077"/>
        <w:gridCol w:w="5245"/>
        <w:gridCol w:w="4111"/>
      </w:tblGrid>
      <w:tr w:rsidR="00801223" w:rsidRPr="00801223" w:rsidTr="0036412E">
        <w:tc>
          <w:tcPr>
            <w:tcW w:w="4077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Виды учебной нагрузки</w:t>
            </w:r>
          </w:p>
        </w:tc>
        <w:tc>
          <w:tcPr>
            <w:tcW w:w="524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7 класс – 1 полугодие 8 класса (обязательная часть)</w:t>
            </w:r>
          </w:p>
        </w:tc>
        <w:tc>
          <w:tcPr>
            <w:tcW w:w="411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2 полугодие 8 класса (вариативная часть)</w:t>
            </w:r>
          </w:p>
        </w:tc>
      </w:tr>
      <w:tr w:rsidR="00801223" w:rsidRPr="00801223" w:rsidTr="0036412E">
        <w:tc>
          <w:tcPr>
            <w:tcW w:w="4077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(общее на 1,5 года)</w:t>
            </w:r>
          </w:p>
        </w:tc>
        <w:tc>
          <w:tcPr>
            <w:tcW w:w="411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223" w:rsidRPr="00801223" w:rsidTr="0036412E">
        <w:tc>
          <w:tcPr>
            <w:tcW w:w="4077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Максимальная нагрузка</w:t>
            </w:r>
          </w:p>
        </w:tc>
        <w:tc>
          <w:tcPr>
            <w:tcW w:w="524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122,5 часа</w:t>
            </w:r>
          </w:p>
        </w:tc>
        <w:tc>
          <w:tcPr>
            <w:tcW w:w="411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40 часов</w:t>
            </w:r>
          </w:p>
        </w:tc>
      </w:tr>
      <w:tr w:rsidR="00801223" w:rsidRPr="00801223" w:rsidTr="0036412E">
        <w:tc>
          <w:tcPr>
            <w:tcW w:w="4077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на аудиторную нагрузку</w:t>
            </w:r>
          </w:p>
        </w:tc>
        <w:tc>
          <w:tcPr>
            <w:tcW w:w="5245" w:type="dxa"/>
            <w:vAlign w:val="center"/>
          </w:tcPr>
          <w:p w:rsidR="00801223" w:rsidRPr="00801223" w:rsidRDefault="00801223" w:rsidP="0036412E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49 часов</w:t>
            </w:r>
            <w:r w:rsidR="003641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1223">
              <w:rPr>
                <w:rFonts w:ascii="Times New Roman" w:hAnsi="Times New Roman" w:cs="Times New Roman"/>
                <w:sz w:val="20"/>
              </w:rPr>
              <w:t>(из расчета 1 час в неделю)</w:t>
            </w:r>
          </w:p>
        </w:tc>
        <w:tc>
          <w:tcPr>
            <w:tcW w:w="411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16 часов</w:t>
            </w:r>
          </w:p>
        </w:tc>
      </w:tr>
      <w:tr w:rsidR="00801223" w:rsidRPr="00801223" w:rsidTr="0036412E">
        <w:tc>
          <w:tcPr>
            <w:tcW w:w="4077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5245" w:type="dxa"/>
            <w:vAlign w:val="center"/>
          </w:tcPr>
          <w:p w:rsid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73,5 часа</w:t>
            </w:r>
          </w:p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(из расчета 1,5 часа в неделю)</w:t>
            </w:r>
          </w:p>
        </w:tc>
        <w:tc>
          <w:tcPr>
            <w:tcW w:w="411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24 часа</w:t>
            </w:r>
          </w:p>
        </w:tc>
      </w:tr>
    </w:tbl>
    <w:p w:rsidR="00801223" w:rsidRDefault="00801223" w:rsidP="00801223">
      <w:pPr>
        <w:pStyle w:val="a3"/>
        <w:rPr>
          <w:rFonts w:ascii="Times New Roman" w:hAnsi="Times New Roman" w:cs="Times New Roman"/>
        </w:rPr>
      </w:pP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i/>
        </w:rPr>
      </w:pPr>
      <w:r w:rsidRPr="00801223">
        <w:rPr>
          <w:rFonts w:ascii="Times New Roman" w:hAnsi="Times New Roman" w:cs="Times New Roman"/>
          <w:i/>
        </w:rPr>
        <w:lastRenderedPageBreak/>
        <w:t>Цели и задачи учебного предмета</w:t>
      </w: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b/>
        </w:rPr>
      </w:pPr>
      <w:r w:rsidRPr="00801223">
        <w:rPr>
          <w:rFonts w:ascii="Times New Roman" w:hAnsi="Times New Roman" w:cs="Times New Roman"/>
          <w:b/>
        </w:rPr>
        <w:t xml:space="preserve">Цели: </w:t>
      </w:r>
    </w:p>
    <w:p w:rsidR="00801223" w:rsidRDefault="00801223" w:rsidP="008012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музыкального исполнительства; </w:t>
      </w:r>
    </w:p>
    <w:p w:rsidR="00801223" w:rsidRDefault="00801223" w:rsidP="008012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стимулирование развития эмоциональности, памяти, мышления, воображения и творческой активности при игре в ансамбле. </w:t>
      </w: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b/>
        </w:rPr>
      </w:pPr>
      <w:r w:rsidRPr="00801223">
        <w:rPr>
          <w:rFonts w:ascii="Times New Roman" w:hAnsi="Times New Roman" w:cs="Times New Roman"/>
          <w:b/>
        </w:rPr>
        <w:t xml:space="preserve">Задачи: </w:t>
      </w:r>
    </w:p>
    <w:p w:rsidR="00801223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801223">
        <w:rPr>
          <w:rFonts w:ascii="Times New Roman" w:hAnsi="Times New Roman" w:cs="Times New Roman"/>
        </w:rPr>
        <w:t>музицирования</w:t>
      </w:r>
      <w:proofErr w:type="spellEnd"/>
      <w:r w:rsidRPr="00801223">
        <w:rPr>
          <w:rFonts w:ascii="Times New Roman" w:hAnsi="Times New Roman" w:cs="Times New Roman"/>
        </w:rPr>
        <w:t xml:space="preserve">; </w:t>
      </w:r>
    </w:p>
    <w:p w:rsidR="00801223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развитие интереса к совместному музыкальному творчеству;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>умение слышать все произведение в целом, чувствовать солиста и поддержив</w:t>
      </w:r>
      <w:r w:rsidR="00EE333F">
        <w:rPr>
          <w:rFonts w:ascii="Times New Roman" w:hAnsi="Times New Roman" w:cs="Times New Roman"/>
        </w:rPr>
        <w:t>ать все его творческие замыслы;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умение следить не только за партией фортепиано, но и за партией солиста;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801223">
        <w:rPr>
          <w:rFonts w:ascii="Times New Roman" w:hAnsi="Times New Roman" w:cs="Times New Roman"/>
        </w:rPr>
        <w:t>звукоизвлечения</w:t>
      </w:r>
      <w:proofErr w:type="spellEnd"/>
      <w:r w:rsidRPr="00801223">
        <w:rPr>
          <w:rFonts w:ascii="Times New Roman" w:hAnsi="Times New Roman" w:cs="Times New Roman"/>
        </w:rPr>
        <w:t xml:space="preserve"> и др.) исполнительства;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навыки работы над звуковым балансом в работе с солистом;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навыков самостоятельной работы и чтения с листа нетрудного текста с солистом;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опыта совместной творческой деятельности и опыта публичных выступлений; </w:t>
      </w:r>
    </w:p>
    <w:p w:rsidR="008C0CEB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 </w:t>
      </w:r>
    </w:p>
    <w:p w:rsidR="00F77EAA" w:rsidRDefault="00F77EAA" w:rsidP="00F77EAA">
      <w:pPr>
        <w:pStyle w:val="a3"/>
        <w:ind w:firstLine="360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F77EAA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F77EAA" w:rsidRDefault="00F77EAA" w:rsidP="00F77EAA">
      <w:pPr>
        <w:pStyle w:val="a3"/>
        <w:ind w:firstLine="360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EE333F" w:rsidRP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77EAA" w:rsidRPr="00F77EAA" w:rsidRDefault="00F77EAA" w:rsidP="00F77EAA">
      <w:pPr>
        <w:pStyle w:val="a3"/>
        <w:rPr>
          <w:rFonts w:ascii="Times New Roman" w:hAnsi="Times New Roman" w:cs="Times New Roman"/>
        </w:rPr>
      </w:pPr>
    </w:p>
    <w:p w:rsidR="00F77EAA" w:rsidRPr="00F77EAA" w:rsidRDefault="00F77EAA" w:rsidP="00F77EAA">
      <w:pPr>
        <w:pStyle w:val="a3"/>
        <w:rPr>
          <w:rFonts w:ascii="Times New Roman" w:hAnsi="Times New Roman" w:cs="Times New Roman"/>
          <w:i/>
        </w:rPr>
      </w:pPr>
      <w:r w:rsidRPr="00F77EAA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В качестве форм текущего контроля успеваемости могут использоваться контрольные уроки, прослушивания, классные вечера.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F77EAA">
        <w:rPr>
          <w:rFonts w:ascii="Times New Roman" w:hAnsi="Times New Roman" w:cs="Times New Roman"/>
        </w:rPr>
        <w:t>обучающихся</w:t>
      </w:r>
      <w:proofErr w:type="gramEnd"/>
      <w:r w:rsidRPr="00F77EAA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В конце каждой четверти выставляется оценка.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 </w:t>
      </w:r>
    </w:p>
    <w:p w:rsidR="00F77EAA" w:rsidRP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По завершении изучения учебного предмета «Концертмейстерский класс» проводится промежуточная аттестация с оценкой, которая заносится в свидетельство об окончании образовательного учреждения. Содержание промежуточной аттестации и условия ее проведения разрабатываются образовательным учреждением самостоятельно.</w:t>
      </w:r>
    </w:p>
    <w:p w:rsidR="00EE333F" w:rsidRPr="00EE333F" w:rsidRDefault="00EE333F" w:rsidP="00EE333F">
      <w:pPr>
        <w:pStyle w:val="a3"/>
        <w:ind w:firstLine="360"/>
        <w:rPr>
          <w:rFonts w:ascii="Times New Roman" w:hAnsi="Times New Roman" w:cs="Times New Roman"/>
        </w:rPr>
      </w:pPr>
    </w:p>
    <w:sectPr w:rsidR="00EE333F" w:rsidRPr="00EE333F" w:rsidSect="00364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0054"/>
    <w:multiLevelType w:val="hybridMultilevel"/>
    <w:tmpl w:val="A216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93BE4"/>
    <w:multiLevelType w:val="hybridMultilevel"/>
    <w:tmpl w:val="CCAA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F3B8E"/>
    <w:multiLevelType w:val="hybridMultilevel"/>
    <w:tmpl w:val="E202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B25DD"/>
    <w:multiLevelType w:val="hybridMultilevel"/>
    <w:tmpl w:val="8B12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CEB"/>
    <w:rsid w:val="00115B47"/>
    <w:rsid w:val="001F0D9E"/>
    <w:rsid w:val="0036412E"/>
    <w:rsid w:val="004E7A84"/>
    <w:rsid w:val="00801223"/>
    <w:rsid w:val="008C0CEB"/>
    <w:rsid w:val="00EE333F"/>
    <w:rsid w:val="00F7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CEB"/>
    <w:pPr>
      <w:spacing w:after="0" w:line="240" w:lineRule="auto"/>
    </w:pPr>
  </w:style>
  <w:style w:type="table" w:styleId="a4">
    <w:name w:val="Table Grid"/>
    <w:basedOn w:val="a1"/>
    <w:uiPriority w:val="59"/>
    <w:rsid w:val="0080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2021-07-09T14:41:00Z</dcterms:created>
  <dcterms:modified xsi:type="dcterms:W3CDTF">2021-07-30T17:00:00Z</dcterms:modified>
</cp:coreProperties>
</file>