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E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3B03418E" wp14:editId="06F6A81A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770255" cy="914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E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EA">
        <w:rPr>
          <w:rFonts w:ascii="Times New Roman" w:hAnsi="Times New Roman" w:cs="Times New Roman"/>
          <w:b/>
          <w:sz w:val="28"/>
          <w:szCs w:val="28"/>
        </w:rPr>
        <w:t>Новгородская область</w:t>
      </w: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EA">
        <w:rPr>
          <w:rFonts w:ascii="Times New Roman" w:hAnsi="Times New Roman" w:cs="Times New Roman"/>
          <w:b/>
          <w:sz w:val="28"/>
          <w:szCs w:val="28"/>
        </w:rPr>
        <w:t xml:space="preserve">ДУМА НОВГОРОДСКОГО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03.10</w:t>
      </w:r>
      <w:r w:rsidRPr="009513EA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1D4FD8" w:rsidRDefault="001D4FD8" w:rsidP="001D4FD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513EA">
        <w:rPr>
          <w:rFonts w:ascii="Times New Roman" w:hAnsi="Times New Roman" w:cs="Times New Roman"/>
          <w:sz w:val="28"/>
          <w:szCs w:val="28"/>
        </w:rPr>
        <w:t>Великий Новгород</w:t>
      </w:r>
    </w:p>
    <w:p w:rsidR="001D4FD8" w:rsidRPr="009513EA" w:rsidRDefault="001D4FD8" w:rsidP="001D4FD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55DDB" w:rsidRPr="00555DDB" w:rsidRDefault="00555DDB" w:rsidP="00555DDB">
      <w:pPr>
        <w:spacing w:line="240" w:lineRule="exac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55DDB">
        <w:rPr>
          <w:rFonts w:ascii="Times New Roman" w:hAnsi="Times New Roman" w:cs="Times New Roman"/>
          <w:b/>
          <w:bCs/>
          <w:sz w:val="28"/>
          <w:szCs w:val="28"/>
        </w:rPr>
        <w:t>О правопреемстве органов</w:t>
      </w:r>
    </w:p>
    <w:p w:rsidR="00555DDB" w:rsidRPr="00555DDB" w:rsidRDefault="00555DDB" w:rsidP="00555DDB">
      <w:pPr>
        <w:spacing w:line="240" w:lineRule="exac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55DDB"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самоуправления</w:t>
      </w:r>
    </w:p>
    <w:p w:rsidR="001D4FD8" w:rsidRDefault="00C17F3D" w:rsidP="00555DDB">
      <w:pPr>
        <w:spacing w:line="240" w:lineRule="exac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Новгородского</w:t>
      </w:r>
      <w:r w:rsidR="00555DDB" w:rsidRPr="00555DD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</w:p>
    <w:p w:rsidR="00AF2977" w:rsidRDefault="00555DDB" w:rsidP="00555DDB">
      <w:pPr>
        <w:spacing w:line="240" w:lineRule="exac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55DDB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1D4F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b/>
          <w:bCs/>
          <w:sz w:val="28"/>
          <w:szCs w:val="28"/>
        </w:rPr>
        <w:t>Новгородской области</w:t>
      </w:r>
    </w:p>
    <w:p w:rsidR="008C3E5C" w:rsidRDefault="008C3E5C" w:rsidP="0032363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D4FD8" w:rsidRDefault="001D4FD8" w:rsidP="0032363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D4FD8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В соответствии со статьей 13 Федерального закона от 20.03.2025 № 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публичной власти»</w:t>
      </w:r>
      <w:r w:rsidR="00FC3950" w:rsidRPr="00FC3950">
        <w:t xml:space="preserve"> </w:t>
      </w:r>
      <w:r w:rsidR="00FC3950" w:rsidRPr="00FC3950">
        <w:rPr>
          <w:rFonts w:ascii="Times New Roman" w:hAnsi="Times New Roman" w:cs="Times New Roman"/>
          <w:sz w:val="28"/>
          <w:szCs w:val="28"/>
        </w:rPr>
        <w:t>(далее – Федеральный закон № 33-ФЗ)</w:t>
      </w:r>
      <w:r w:rsidRPr="00FC3950">
        <w:rPr>
          <w:rFonts w:ascii="Times New Roman" w:hAnsi="Times New Roman" w:cs="Times New Roman"/>
          <w:sz w:val="28"/>
          <w:szCs w:val="28"/>
        </w:rPr>
        <w:t>,</w:t>
      </w:r>
      <w:r w:rsidRPr="00555DDB">
        <w:rPr>
          <w:rFonts w:ascii="Times New Roman" w:hAnsi="Times New Roman" w:cs="Times New Roman"/>
          <w:sz w:val="28"/>
          <w:szCs w:val="28"/>
        </w:rPr>
        <w:t xml:space="preserve"> областным законом Новгородской области </w:t>
      </w:r>
      <w:r w:rsidR="001D4FD8">
        <w:rPr>
          <w:rFonts w:ascii="Times New Roman" w:hAnsi="Times New Roman" w:cs="Times New Roman"/>
          <w:sz w:val="28"/>
          <w:szCs w:val="28"/>
        </w:rPr>
        <w:t>от 03.03.2025 № 641-ОЗ «</w:t>
      </w:r>
      <w:r w:rsidR="00C17F3D" w:rsidRPr="00C17F3D">
        <w:rPr>
          <w:rFonts w:ascii="Times New Roman" w:hAnsi="Times New Roman" w:cs="Times New Roman"/>
          <w:sz w:val="28"/>
          <w:szCs w:val="28"/>
        </w:rPr>
        <w:t>О преобразовании всех поселений, входящих в состав Новгородского муниципального района Новгородской области, путем их объединения и наделении вновь образованного муниципального образования</w:t>
      </w:r>
      <w:r w:rsidR="001D4FD8">
        <w:rPr>
          <w:rFonts w:ascii="Times New Roman" w:hAnsi="Times New Roman" w:cs="Times New Roman"/>
          <w:sz w:val="28"/>
          <w:szCs w:val="28"/>
        </w:rPr>
        <w:t xml:space="preserve"> статусом муниципального округа»,</w:t>
      </w:r>
    </w:p>
    <w:p w:rsidR="008D1EB7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Дума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DDB" w:rsidRPr="001D4FD8" w:rsidRDefault="00555DDB" w:rsidP="001D4FD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D4FD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1. Определить Думу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области правопреемником в отношениях с органами государственной власти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Российской Федерации, органами государственной власти субъектов Российской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Федерации, органами местного самоуправления, физическими и юридическими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лицами следующих органов местного самоуправления: Думы </w:t>
      </w:r>
      <w:r w:rsidR="00C17F3D">
        <w:rPr>
          <w:rFonts w:ascii="Times New Roman" w:hAnsi="Times New Roman" w:cs="Times New Roman"/>
          <w:sz w:val="28"/>
          <w:szCs w:val="28"/>
        </w:rPr>
        <w:t xml:space="preserve">Новгородского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района, Совет</w:t>
      </w:r>
      <w:r w:rsidR="00C238AD">
        <w:rPr>
          <w:rFonts w:ascii="Times New Roman" w:hAnsi="Times New Roman" w:cs="Times New Roman"/>
          <w:sz w:val="28"/>
          <w:szCs w:val="28"/>
        </w:rPr>
        <w:t>ов</w:t>
      </w:r>
      <w:r w:rsidRPr="00555DD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C238AD" w:rsidRPr="00C238AD">
        <w:rPr>
          <w:rFonts w:ascii="Times New Roman" w:hAnsi="Times New Roman" w:cs="Times New Roman"/>
          <w:sz w:val="28"/>
          <w:szCs w:val="28"/>
        </w:rPr>
        <w:t>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сельского поселения,  Тёсово-Нетыльского сельского поселения, Тру</w:t>
      </w:r>
      <w:r w:rsidR="00270F70">
        <w:rPr>
          <w:rFonts w:ascii="Times New Roman" w:hAnsi="Times New Roman" w:cs="Times New Roman"/>
          <w:sz w:val="28"/>
          <w:szCs w:val="28"/>
        </w:rPr>
        <w:t>бичинского сельского поселения</w:t>
      </w:r>
      <w:r w:rsidRPr="00555DDB">
        <w:rPr>
          <w:rFonts w:ascii="Times New Roman" w:hAnsi="Times New Roman" w:cs="Times New Roman"/>
          <w:sz w:val="28"/>
          <w:szCs w:val="28"/>
        </w:rPr>
        <w:t>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2. Определить Администрацию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Новгородской области правопреемником в отношениях с органами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государственной власти Российской Феде</w:t>
      </w:r>
      <w:r w:rsidR="00270F70">
        <w:rPr>
          <w:rFonts w:ascii="Times New Roman" w:hAnsi="Times New Roman" w:cs="Times New Roman"/>
          <w:sz w:val="28"/>
          <w:szCs w:val="28"/>
        </w:rPr>
        <w:t xml:space="preserve">рации, органами государственной </w:t>
      </w:r>
      <w:r w:rsidRPr="00555DDB">
        <w:rPr>
          <w:rFonts w:ascii="Times New Roman" w:hAnsi="Times New Roman" w:cs="Times New Roman"/>
          <w:sz w:val="28"/>
          <w:szCs w:val="28"/>
        </w:rPr>
        <w:t>власти субъектов Российской Федерации, органами местного самоуправления,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физическими и юридическими лицами следующих органов местного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самоуправления: Администрации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="00270F70" w:rsidRPr="00270F70">
        <w:rPr>
          <w:rFonts w:ascii="Times New Roman" w:hAnsi="Times New Roman" w:cs="Times New Roman"/>
          <w:sz w:val="28"/>
          <w:szCs w:val="28"/>
        </w:rPr>
        <w:t>Администраци</w:t>
      </w:r>
      <w:r w:rsidR="00270F70">
        <w:rPr>
          <w:rFonts w:ascii="Times New Roman" w:hAnsi="Times New Roman" w:cs="Times New Roman"/>
          <w:sz w:val="28"/>
          <w:szCs w:val="28"/>
        </w:rPr>
        <w:t>й</w:t>
      </w:r>
      <w:r w:rsidR="00270F70" w:rsidRPr="00270F70">
        <w:rPr>
          <w:rFonts w:ascii="Times New Roman" w:hAnsi="Times New Roman" w:cs="Times New Roman"/>
          <w:sz w:val="28"/>
          <w:szCs w:val="28"/>
        </w:rPr>
        <w:t xml:space="preserve"> 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сельского поселения,  Тёсово-Нетыльского сельского поселения, Тру</w:t>
      </w:r>
      <w:r w:rsidR="00270F70">
        <w:rPr>
          <w:rFonts w:ascii="Times New Roman" w:hAnsi="Times New Roman" w:cs="Times New Roman"/>
          <w:sz w:val="28"/>
          <w:szCs w:val="28"/>
        </w:rPr>
        <w:t>бичинского сельского поселения</w:t>
      </w:r>
      <w:r w:rsidR="00C17F3D">
        <w:rPr>
          <w:rFonts w:ascii="Times New Roman" w:hAnsi="Times New Roman" w:cs="Times New Roman"/>
          <w:sz w:val="28"/>
          <w:szCs w:val="28"/>
        </w:rPr>
        <w:t>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3. Установить, что Администрация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исполняет полномочия по решению вопросов местного значения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округа до момента государственной регистрации юридического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лица вновь образованного муниципального образования </w:t>
      </w:r>
      <w:r w:rsidR="00A45CB2">
        <w:rPr>
          <w:rFonts w:ascii="Times New Roman" w:hAnsi="Times New Roman" w:cs="Times New Roman"/>
          <w:sz w:val="28"/>
          <w:szCs w:val="28"/>
        </w:rPr>
        <w:t>Новгородский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муниципальный округ Новгородской области - Администрации </w:t>
      </w:r>
      <w:r w:rsidR="00C17F3D">
        <w:rPr>
          <w:rFonts w:ascii="Times New Roman" w:hAnsi="Times New Roman" w:cs="Times New Roman"/>
          <w:sz w:val="28"/>
          <w:szCs w:val="28"/>
        </w:rPr>
        <w:t xml:space="preserve">Новгородского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округа Новгородской 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4. Определить Контрольно-счетную палату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округа Новгородской области правопреемником Контрольно-счетной палаты</w:t>
      </w:r>
      <w:r w:rsidR="00C17F3D">
        <w:rPr>
          <w:rFonts w:ascii="Times New Roman" w:hAnsi="Times New Roman" w:cs="Times New Roman"/>
          <w:sz w:val="28"/>
          <w:szCs w:val="28"/>
        </w:rPr>
        <w:t xml:space="preserve"> 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 в отношениях с органами государственной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власти Российской Федерации, органами государственной власти субъектов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Российской Федерации, органами местного самоуправления, физическими и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юридическими лицами.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5. Определить, что муниципальные правовые акты, принятые органами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сельского поселения,  Тёсово-Нетыльского сельского поселения, Трубичинского сельского поселения  </w:t>
      </w:r>
      <w:r w:rsidRPr="00555DDB">
        <w:rPr>
          <w:rFonts w:ascii="Times New Roman" w:hAnsi="Times New Roman" w:cs="Times New Roman"/>
          <w:sz w:val="28"/>
          <w:szCs w:val="28"/>
        </w:rPr>
        <w:t xml:space="preserve"> действуют в части, не противоречащей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федеральным законам и иным нормативным правовым актам Российской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Федерации, Уставу Новгородской области, областным законам и иным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нормативным правовым актам Новгородской области, а также муниципальным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правовым актам органов местного самоуправления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округа Новгородской области и могут быть отменены или изменены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соответственно Думой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области, Администрацией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Нормативные правовые акты Думы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Новгородской области до дня вступления в должность Главы </w:t>
      </w:r>
      <w:r w:rsidR="00C17F3D">
        <w:rPr>
          <w:rFonts w:ascii="Times New Roman" w:hAnsi="Times New Roman" w:cs="Times New Roman"/>
          <w:sz w:val="28"/>
          <w:szCs w:val="28"/>
        </w:rPr>
        <w:t xml:space="preserve">Новгородского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округа Новгородской области подписываются председателем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Думы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 области и Главой</w:t>
      </w:r>
      <w:r w:rsidR="00C17F3D">
        <w:rPr>
          <w:rFonts w:ascii="Times New Roman" w:hAnsi="Times New Roman" w:cs="Times New Roman"/>
          <w:sz w:val="28"/>
          <w:szCs w:val="28"/>
        </w:rPr>
        <w:t xml:space="preserve"> 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Право подписания муниципальных правовых актов, принятых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района, иных документов</w:t>
      </w:r>
      <w:r w:rsidR="00BC2B2B">
        <w:rPr>
          <w:rFonts w:ascii="Times New Roman" w:hAnsi="Times New Roman" w:cs="Times New Roman"/>
          <w:sz w:val="28"/>
          <w:szCs w:val="28"/>
        </w:rPr>
        <w:t>,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исходящих от Администрации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C2B2B">
        <w:rPr>
          <w:rFonts w:ascii="Times New Roman" w:hAnsi="Times New Roman" w:cs="Times New Roman"/>
          <w:sz w:val="28"/>
          <w:szCs w:val="28"/>
        </w:rPr>
        <w:t>,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принадлежит Главе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 до дня вступления в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 </w:t>
      </w:r>
      <w:r w:rsidRPr="00555DDB">
        <w:rPr>
          <w:rFonts w:ascii="Times New Roman" w:hAnsi="Times New Roman" w:cs="Times New Roman"/>
          <w:sz w:val="28"/>
          <w:szCs w:val="28"/>
        </w:rPr>
        <w:lastRenderedPageBreak/>
        <w:t>области, со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дня вступления в должность Главы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Новгородской области - Главе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Новгородской 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6. Определить, что полномочия учредителя организаций и предприятий,</w:t>
      </w:r>
      <w:r w:rsidR="00C17F3D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учредителем которых выступали </w:t>
      </w:r>
      <w:r w:rsidR="00226729">
        <w:rPr>
          <w:rFonts w:ascii="Times New Roman" w:hAnsi="Times New Roman" w:cs="Times New Roman"/>
          <w:sz w:val="28"/>
          <w:szCs w:val="28"/>
        </w:rPr>
        <w:t xml:space="preserve">Новгородский муниципальный район, </w:t>
      </w:r>
      <w:r w:rsidR="00475EF6" w:rsidRPr="00475EF6">
        <w:rPr>
          <w:rFonts w:ascii="Times New Roman" w:hAnsi="Times New Roman" w:cs="Times New Roman"/>
          <w:sz w:val="28"/>
          <w:szCs w:val="28"/>
        </w:rPr>
        <w:t>Савинско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>, Панковско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>, Пролетарско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поселение, Борковско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>, Бронницко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>, Ермолинско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>, Лесновско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>, Ракомско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>,  Тёсово-Нетыльско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>, Трубичинско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5EF6">
        <w:rPr>
          <w:rFonts w:ascii="Times New Roman" w:hAnsi="Times New Roman" w:cs="Times New Roman"/>
          <w:sz w:val="28"/>
          <w:szCs w:val="28"/>
        </w:rPr>
        <w:t>е</w:t>
      </w:r>
      <w:r w:rsidR="00475EF6" w:rsidRPr="00475EF6">
        <w:rPr>
          <w:rFonts w:ascii="Times New Roman" w:hAnsi="Times New Roman" w:cs="Times New Roman"/>
          <w:sz w:val="28"/>
          <w:szCs w:val="28"/>
        </w:rPr>
        <w:t xml:space="preserve">  </w:t>
      </w:r>
      <w:r w:rsidRPr="00555DDB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="00226729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Организации и предприятия, учредителем которых выступали</w:t>
      </w:r>
      <w:r w:rsidR="00226729">
        <w:rPr>
          <w:rFonts w:ascii="Times New Roman" w:hAnsi="Times New Roman" w:cs="Times New Roman"/>
          <w:sz w:val="28"/>
          <w:szCs w:val="28"/>
        </w:rPr>
        <w:t xml:space="preserve"> 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="008754C6" w:rsidRPr="008754C6">
        <w:rPr>
          <w:rFonts w:ascii="Times New Roman" w:hAnsi="Times New Roman" w:cs="Times New Roman"/>
          <w:sz w:val="28"/>
          <w:szCs w:val="28"/>
        </w:rPr>
        <w:t>Новгородский муниципальный район, Савинское сельское поселение, Панковское городское поселение, Пролетарское городское поселение, Борковское сельское поселение, Бронницкое сельское поселение, Ермолинское сельское поселение, Лесновское сельское поселение, Ракомское сельское поселение,  Тёсово-Нетыльское сельское поселение, Тр</w:t>
      </w:r>
      <w:r w:rsidR="008754C6">
        <w:rPr>
          <w:rFonts w:ascii="Times New Roman" w:hAnsi="Times New Roman" w:cs="Times New Roman"/>
          <w:sz w:val="28"/>
          <w:szCs w:val="28"/>
        </w:rPr>
        <w:t xml:space="preserve">убичинское сельское поселение </w:t>
      </w:r>
      <w:r w:rsidRPr="00555DDB">
        <w:rPr>
          <w:rFonts w:ascii="Times New Roman" w:hAnsi="Times New Roman" w:cs="Times New Roman"/>
          <w:sz w:val="28"/>
          <w:szCs w:val="28"/>
        </w:rPr>
        <w:t>продолжают осуществлять свою деятельность с сохранением их прежней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организационно-правовой формы.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Органы Администрации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зарегистрированные в качестве юридических лиц, продолжают осуществлять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свою деятельность как органы Администрации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округа Новгородской 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Изменения в учредительные документы муниципальных учреждений и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предприятий, а также в учредительные и другие документы иных организаций в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связи с переходом права собственности, иных прав и обязанностей к </w:t>
      </w:r>
      <w:r w:rsidR="00EA7D95">
        <w:rPr>
          <w:rFonts w:ascii="Times New Roman" w:hAnsi="Times New Roman" w:cs="Times New Roman"/>
          <w:sz w:val="28"/>
          <w:szCs w:val="28"/>
        </w:rPr>
        <w:t>Новгородскому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муниципальному округу Новгородской области вносятся в порядке,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Федерации.</w:t>
      </w:r>
    </w:p>
    <w:p w:rsidR="008754C6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7. Определить, что имущество,</w:t>
      </w:r>
      <w:r w:rsidR="001629A0">
        <w:rPr>
          <w:rFonts w:ascii="Times New Roman" w:hAnsi="Times New Roman" w:cs="Times New Roman"/>
          <w:sz w:val="28"/>
          <w:szCs w:val="28"/>
        </w:rPr>
        <w:t xml:space="preserve"> в том числе земельные участки, </w:t>
      </w:r>
      <w:r w:rsidRPr="00555DDB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сельского поселения,  Тёсово-Нетыльского сельского поселения, Трубичинского сельского поселения   </w:t>
      </w:r>
      <w:r w:rsidRPr="00555DDB">
        <w:rPr>
          <w:rFonts w:ascii="Times New Roman" w:hAnsi="Times New Roman" w:cs="Times New Roman"/>
          <w:sz w:val="28"/>
          <w:szCs w:val="28"/>
        </w:rPr>
        <w:t xml:space="preserve"> являются собственностью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округа Новгородской области.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DDB" w:rsidRPr="00555DDB" w:rsidRDefault="008754C6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Новгородский</w:t>
      </w:r>
      <w:r w:rsidR="00555DDB" w:rsidRPr="00555DDB">
        <w:rPr>
          <w:rFonts w:ascii="Times New Roman" w:hAnsi="Times New Roman" w:cs="Times New Roman"/>
          <w:sz w:val="28"/>
          <w:szCs w:val="28"/>
        </w:rPr>
        <w:t xml:space="preserve"> муниципальный округ Новгородской области является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="00555DDB" w:rsidRPr="00555DDB">
        <w:rPr>
          <w:rFonts w:ascii="Times New Roman" w:hAnsi="Times New Roman" w:cs="Times New Roman"/>
          <w:sz w:val="28"/>
          <w:szCs w:val="28"/>
        </w:rPr>
        <w:t xml:space="preserve">правопреемником имущественных прав и обязанностей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="00555DDB" w:rsidRPr="00555DDB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8754C6">
        <w:rPr>
          <w:rFonts w:ascii="Times New Roman" w:hAnsi="Times New Roman" w:cs="Times New Roman"/>
          <w:sz w:val="28"/>
          <w:szCs w:val="28"/>
        </w:rPr>
        <w:t xml:space="preserve">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</w:t>
      </w:r>
      <w:r w:rsidR="00BC2B2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2B2B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поселения, </w:t>
      </w:r>
      <w:r w:rsidRPr="008754C6">
        <w:rPr>
          <w:rFonts w:ascii="Times New Roman" w:hAnsi="Times New Roman" w:cs="Times New Roman"/>
          <w:sz w:val="28"/>
          <w:szCs w:val="28"/>
        </w:rPr>
        <w:t>Тёсово-Нетыльского сельского поселения, Труб</w:t>
      </w:r>
      <w:r w:rsidR="003F2B2A">
        <w:rPr>
          <w:rFonts w:ascii="Times New Roman" w:hAnsi="Times New Roman" w:cs="Times New Roman"/>
          <w:sz w:val="28"/>
          <w:szCs w:val="28"/>
        </w:rPr>
        <w:t>ичинского сельского поселения</w:t>
      </w:r>
      <w:r w:rsidR="00555DDB" w:rsidRPr="00555DDB">
        <w:rPr>
          <w:rFonts w:ascii="Times New Roman" w:hAnsi="Times New Roman" w:cs="Times New Roman"/>
          <w:sz w:val="28"/>
          <w:szCs w:val="28"/>
        </w:rPr>
        <w:t>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Имущественные обязательства, права и обязанности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округа Новгородской области, возникающие в силу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правопреемства, определяются действующим законодательством.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8. Установить, что </w:t>
      </w:r>
      <w:r w:rsidR="008754C6">
        <w:rPr>
          <w:rFonts w:ascii="Times New Roman" w:hAnsi="Times New Roman" w:cs="Times New Roman"/>
          <w:sz w:val="28"/>
          <w:szCs w:val="28"/>
        </w:rPr>
        <w:t>Новгородский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</w:t>
      </w:r>
      <w:r w:rsidR="001629A0">
        <w:rPr>
          <w:rFonts w:ascii="Times New Roman" w:hAnsi="Times New Roman" w:cs="Times New Roman"/>
          <w:sz w:val="28"/>
          <w:szCs w:val="28"/>
        </w:rPr>
        <w:t xml:space="preserve">униципальный округ Новгородской </w:t>
      </w:r>
      <w:r w:rsidRPr="00555DDB">
        <w:rPr>
          <w:rFonts w:ascii="Times New Roman" w:hAnsi="Times New Roman" w:cs="Times New Roman"/>
          <w:sz w:val="28"/>
          <w:szCs w:val="28"/>
        </w:rPr>
        <w:t xml:space="preserve">области является правопреемником муниципального долга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сельского </w:t>
      </w:r>
      <w:proofErr w:type="gramStart"/>
      <w:r w:rsidR="008754C6" w:rsidRPr="008754C6">
        <w:rPr>
          <w:rFonts w:ascii="Times New Roman" w:hAnsi="Times New Roman" w:cs="Times New Roman"/>
          <w:sz w:val="28"/>
          <w:szCs w:val="28"/>
        </w:rPr>
        <w:t>поселения,  Тёсово</w:t>
      </w:r>
      <w:proofErr w:type="gramEnd"/>
      <w:r w:rsidR="008754C6" w:rsidRPr="008754C6">
        <w:rPr>
          <w:rFonts w:ascii="Times New Roman" w:hAnsi="Times New Roman" w:cs="Times New Roman"/>
          <w:sz w:val="28"/>
          <w:szCs w:val="28"/>
        </w:rPr>
        <w:t>-Нетыльского сельского поселения, Труб</w:t>
      </w:r>
      <w:r w:rsidR="008754C6">
        <w:rPr>
          <w:rFonts w:ascii="Times New Roman" w:hAnsi="Times New Roman" w:cs="Times New Roman"/>
          <w:sz w:val="28"/>
          <w:szCs w:val="28"/>
        </w:rPr>
        <w:t>ичинского сельского поселения</w:t>
      </w:r>
      <w:r w:rsidRPr="00555DDB">
        <w:rPr>
          <w:rFonts w:ascii="Times New Roman" w:hAnsi="Times New Roman" w:cs="Times New Roman"/>
          <w:sz w:val="28"/>
          <w:szCs w:val="28"/>
        </w:rPr>
        <w:t>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Управление указанным му</w:t>
      </w:r>
      <w:r w:rsidR="001629A0">
        <w:rPr>
          <w:rFonts w:ascii="Times New Roman" w:hAnsi="Times New Roman" w:cs="Times New Roman"/>
          <w:sz w:val="28"/>
          <w:szCs w:val="28"/>
        </w:rPr>
        <w:t xml:space="preserve">ниципальным долгом обеспечивает </w:t>
      </w:r>
      <w:r w:rsidRPr="00555DD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 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9. Исполнение бюджетов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8754C6" w:rsidRPr="008754C6">
        <w:rPr>
          <w:rFonts w:ascii="Times New Roman" w:hAnsi="Times New Roman" w:cs="Times New Roman"/>
          <w:sz w:val="28"/>
          <w:szCs w:val="28"/>
        </w:rPr>
        <w:t>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сельского поселения,  Тёсово-Нетыльского сельского поселения, Трубичинского сельского поселения</w:t>
      </w:r>
      <w:r w:rsidR="008754C6">
        <w:rPr>
          <w:rFonts w:ascii="Times New Roman" w:hAnsi="Times New Roman" w:cs="Times New Roman"/>
          <w:sz w:val="28"/>
          <w:szCs w:val="28"/>
        </w:rPr>
        <w:t>,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  </w:t>
      </w:r>
      <w:r w:rsidRPr="00555DDB">
        <w:rPr>
          <w:rFonts w:ascii="Times New Roman" w:hAnsi="Times New Roman" w:cs="Times New Roman"/>
          <w:sz w:val="28"/>
          <w:szCs w:val="28"/>
        </w:rPr>
        <w:t>составление бюджетной и иной отчетности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8754C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555DDB">
        <w:rPr>
          <w:rFonts w:ascii="Times New Roman" w:hAnsi="Times New Roman" w:cs="Times New Roman"/>
          <w:sz w:val="28"/>
          <w:szCs w:val="28"/>
        </w:rPr>
        <w:t xml:space="preserve">, составление консолидированной отчетности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района и контроль за исполнением указанных бюджетов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осуществляется в соответствии с муниципальными правовыми актами,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регулирующими бюджетный процесс в </w:t>
      </w:r>
      <w:r w:rsidR="008754C6">
        <w:rPr>
          <w:rFonts w:ascii="Times New Roman" w:hAnsi="Times New Roman" w:cs="Times New Roman"/>
          <w:sz w:val="28"/>
          <w:szCs w:val="28"/>
        </w:rPr>
        <w:t>Новгородском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муниципальном районе, в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="008754C6" w:rsidRPr="008754C6">
        <w:rPr>
          <w:rFonts w:ascii="Times New Roman" w:hAnsi="Times New Roman" w:cs="Times New Roman"/>
          <w:sz w:val="28"/>
          <w:szCs w:val="28"/>
        </w:rPr>
        <w:t>Савинско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F2B2A">
        <w:rPr>
          <w:rFonts w:ascii="Times New Roman" w:hAnsi="Times New Roman" w:cs="Times New Roman"/>
          <w:sz w:val="28"/>
          <w:szCs w:val="28"/>
        </w:rPr>
        <w:t>м поселении</w:t>
      </w:r>
      <w:r w:rsidR="008754C6" w:rsidRPr="008754C6">
        <w:rPr>
          <w:rFonts w:ascii="Times New Roman" w:hAnsi="Times New Roman" w:cs="Times New Roman"/>
          <w:sz w:val="28"/>
          <w:szCs w:val="28"/>
        </w:rPr>
        <w:t>, Панковско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="008754C6" w:rsidRPr="008754C6">
        <w:rPr>
          <w:rFonts w:ascii="Times New Roman" w:hAnsi="Times New Roman" w:cs="Times New Roman"/>
          <w:sz w:val="28"/>
          <w:szCs w:val="28"/>
        </w:rPr>
        <w:t>, Пролетарско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="008754C6" w:rsidRPr="008754C6">
        <w:rPr>
          <w:rFonts w:ascii="Times New Roman" w:hAnsi="Times New Roman" w:cs="Times New Roman"/>
          <w:sz w:val="28"/>
          <w:szCs w:val="28"/>
        </w:rPr>
        <w:t>, Борковско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="008754C6" w:rsidRPr="008754C6">
        <w:rPr>
          <w:rFonts w:ascii="Times New Roman" w:hAnsi="Times New Roman" w:cs="Times New Roman"/>
          <w:sz w:val="28"/>
          <w:szCs w:val="28"/>
        </w:rPr>
        <w:t>, Бронницко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54C6" w:rsidRPr="008754C6">
        <w:rPr>
          <w:rFonts w:ascii="Times New Roman" w:hAnsi="Times New Roman" w:cs="Times New Roman"/>
          <w:sz w:val="28"/>
          <w:szCs w:val="28"/>
        </w:rPr>
        <w:t>Ермолинско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754C6" w:rsidRPr="008754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54C6" w:rsidRPr="008754C6">
        <w:rPr>
          <w:rFonts w:ascii="Times New Roman" w:hAnsi="Times New Roman" w:cs="Times New Roman"/>
          <w:sz w:val="28"/>
          <w:szCs w:val="28"/>
        </w:rPr>
        <w:t>Лесновско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754C6" w:rsidRPr="008754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54C6" w:rsidRPr="008754C6">
        <w:rPr>
          <w:rFonts w:ascii="Times New Roman" w:hAnsi="Times New Roman" w:cs="Times New Roman"/>
          <w:sz w:val="28"/>
          <w:szCs w:val="28"/>
        </w:rPr>
        <w:t>Ракомско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754C6" w:rsidRPr="008754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754C6" w:rsidRPr="008754C6">
        <w:rPr>
          <w:rFonts w:ascii="Times New Roman" w:hAnsi="Times New Roman" w:cs="Times New Roman"/>
          <w:sz w:val="28"/>
          <w:szCs w:val="28"/>
        </w:rPr>
        <w:t>Тёсово-Нетыльско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754C6" w:rsidRPr="008754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 w:rsidRP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="008754C6" w:rsidRPr="008754C6">
        <w:rPr>
          <w:rFonts w:ascii="Times New Roman" w:hAnsi="Times New Roman" w:cs="Times New Roman"/>
          <w:sz w:val="28"/>
          <w:szCs w:val="28"/>
        </w:rPr>
        <w:t>, Труб</w:t>
      </w:r>
      <w:r w:rsidR="008754C6">
        <w:rPr>
          <w:rFonts w:ascii="Times New Roman" w:hAnsi="Times New Roman" w:cs="Times New Roman"/>
          <w:sz w:val="28"/>
          <w:szCs w:val="28"/>
        </w:rPr>
        <w:t>ичинско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F2B2A">
        <w:rPr>
          <w:rFonts w:ascii="Times New Roman" w:hAnsi="Times New Roman" w:cs="Times New Roman"/>
          <w:sz w:val="28"/>
          <w:szCs w:val="28"/>
        </w:rPr>
        <w:t>м</w:t>
      </w:r>
      <w:r w:rsidR="008754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2B2A">
        <w:rPr>
          <w:rFonts w:ascii="Times New Roman" w:hAnsi="Times New Roman" w:cs="Times New Roman"/>
          <w:sz w:val="28"/>
          <w:szCs w:val="28"/>
        </w:rPr>
        <w:t>и</w:t>
      </w:r>
      <w:r w:rsidRPr="00555DDB">
        <w:rPr>
          <w:rFonts w:ascii="Times New Roman" w:hAnsi="Times New Roman" w:cs="Times New Roman"/>
          <w:sz w:val="28"/>
          <w:szCs w:val="28"/>
        </w:rPr>
        <w:t>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Внесение изменений в решения Думы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55DDB">
        <w:rPr>
          <w:rFonts w:ascii="Times New Roman" w:hAnsi="Times New Roman" w:cs="Times New Roman"/>
          <w:sz w:val="28"/>
          <w:szCs w:val="28"/>
        </w:rPr>
        <w:t xml:space="preserve">района, Советов депутатов </w:t>
      </w:r>
      <w:r w:rsidR="008754C6" w:rsidRPr="008754C6">
        <w:rPr>
          <w:rFonts w:ascii="Times New Roman" w:hAnsi="Times New Roman" w:cs="Times New Roman"/>
          <w:sz w:val="28"/>
          <w:szCs w:val="28"/>
        </w:rPr>
        <w:t>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сельского поселения,  Тёсово-Нетыльского сельского поселения, Трубичинског</w:t>
      </w:r>
      <w:r w:rsidR="008754C6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555DDB">
        <w:rPr>
          <w:rFonts w:ascii="Times New Roman" w:hAnsi="Times New Roman" w:cs="Times New Roman"/>
          <w:sz w:val="28"/>
          <w:szCs w:val="28"/>
        </w:rPr>
        <w:t>,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утверждение годовых отчетов об исполнении бюджетов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8754C6" w:rsidRPr="008754C6">
        <w:rPr>
          <w:rFonts w:ascii="Times New Roman" w:hAnsi="Times New Roman" w:cs="Times New Roman"/>
          <w:sz w:val="28"/>
          <w:szCs w:val="28"/>
        </w:rPr>
        <w:t>Савинского сельского поселения, Панковского городского поселения, Пролетарского городского поселение, Борковского сельского поселения, Бронницкого сельского поселения, Ермолинского сельского поселения, Лесновского сельского поселения, Ракомского сельского поселения,  Тёсово-Нетыльского сельского поселения, Труб</w:t>
      </w:r>
      <w:r w:rsidR="008754C6">
        <w:rPr>
          <w:rFonts w:ascii="Times New Roman" w:hAnsi="Times New Roman" w:cs="Times New Roman"/>
          <w:sz w:val="28"/>
          <w:szCs w:val="28"/>
        </w:rPr>
        <w:t>ичинского сельского поселения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осуществляется Думой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Новгородской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10. Определить, что до дня вступления в должность Главы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муниципального округа Новгородской области Глава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района: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10.1. Опубликовывает проект Устава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55DDB">
        <w:rPr>
          <w:rFonts w:ascii="Times New Roman" w:hAnsi="Times New Roman" w:cs="Times New Roman"/>
          <w:sz w:val="28"/>
          <w:szCs w:val="28"/>
        </w:rPr>
        <w:t>Новгородской области, порядок учета предложений по проекту указанного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устава, порядок участия граждан в его обсуждении, Устав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округа Новгородской области</w:t>
      </w:r>
      <w:r w:rsidR="008754C6">
        <w:rPr>
          <w:rFonts w:ascii="Times New Roman" w:hAnsi="Times New Roman" w:cs="Times New Roman"/>
          <w:sz w:val="28"/>
          <w:szCs w:val="28"/>
        </w:rPr>
        <w:t>,</w:t>
      </w:r>
      <w:r w:rsidRPr="00555DDB">
        <w:rPr>
          <w:rFonts w:ascii="Times New Roman" w:hAnsi="Times New Roman" w:cs="Times New Roman"/>
          <w:sz w:val="28"/>
          <w:szCs w:val="28"/>
        </w:rPr>
        <w:t xml:space="preserve"> зарегистрированный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Управлением Министерства юстиции Российской Федерации по Новгородской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Представляет в Управление Министерства юстиции Р</w:t>
      </w:r>
      <w:r w:rsidR="001629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55DDB">
        <w:rPr>
          <w:rFonts w:ascii="Times New Roman" w:hAnsi="Times New Roman" w:cs="Times New Roman"/>
          <w:sz w:val="28"/>
          <w:szCs w:val="28"/>
        </w:rPr>
        <w:t xml:space="preserve">Федерации по Новгородской области Устав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Новгородской области сведения о его официальном опубликовании в порядке и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сроки, установленные Федеральным законом от 21 июля 2005 года № 97-ФЗ «О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государственной регистрации уставов муниципальных образований».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10.2. Вносит в Думу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</w:t>
      </w:r>
      <w:r w:rsidR="001629A0">
        <w:rPr>
          <w:rFonts w:ascii="Times New Roman" w:hAnsi="Times New Roman" w:cs="Times New Roman"/>
          <w:sz w:val="28"/>
          <w:szCs w:val="28"/>
        </w:rPr>
        <w:t xml:space="preserve">иципального округа Новгородской </w:t>
      </w:r>
      <w:r w:rsidRPr="00555DDB">
        <w:rPr>
          <w:rFonts w:ascii="Times New Roman" w:hAnsi="Times New Roman" w:cs="Times New Roman"/>
          <w:sz w:val="28"/>
          <w:szCs w:val="28"/>
        </w:rPr>
        <w:t>области проекты муниципальных правовых актов.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10.3. Обнародует нормативны</w:t>
      </w:r>
      <w:r w:rsidR="001629A0">
        <w:rPr>
          <w:rFonts w:ascii="Times New Roman" w:hAnsi="Times New Roman" w:cs="Times New Roman"/>
          <w:sz w:val="28"/>
          <w:szCs w:val="28"/>
        </w:rPr>
        <w:t xml:space="preserve">е правовые акты, принятые Думой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 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11. Установить, что до момента регистрации/сохранении регистрации в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Геральдическом совете при Президенте Российской Федерации и внесени</w:t>
      </w:r>
      <w:r w:rsidR="004841BA">
        <w:rPr>
          <w:rFonts w:ascii="Times New Roman" w:hAnsi="Times New Roman" w:cs="Times New Roman"/>
          <w:sz w:val="28"/>
          <w:szCs w:val="28"/>
        </w:rPr>
        <w:t>я</w:t>
      </w:r>
      <w:r w:rsidRPr="00555DDB">
        <w:rPr>
          <w:rFonts w:ascii="Times New Roman" w:hAnsi="Times New Roman" w:cs="Times New Roman"/>
          <w:sz w:val="28"/>
          <w:szCs w:val="28"/>
        </w:rPr>
        <w:t xml:space="preserve"> в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Государственный геральдический регистр Российской Федерации официальных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символов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 области - герба и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флага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 области, используются официальные символы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629A0">
        <w:rPr>
          <w:rFonts w:ascii="Times New Roman" w:hAnsi="Times New Roman" w:cs="Times New Roman"/>
          <w:sz w:val="28"/>
          <w:szCs w:val="28"/>
        </w:rPr>
        <w:t>го района Новгородской 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12. Установить, что в силу части 7 статьи 25 </w:t>
      </w:r>
      <w:r w:rsidR="004841BA" w:rsidRPr="004841BA">
        <w:rPr>
          <w:rFonts w:ascii="Times New Roman" w:hAnsi="Times New Roman" w:cs="Times New Roman"/>
          <w:sz w:val="28"/>
          <w:szCs w:val="28"/>
        </w:rPr>
        <w:t>Федеральн</w:t>
      </w:r>
      <w:r w:rsidR="004841BA">
        <w:rPr>
          <w:rFonts w:ascii="Times New Roman" w:hAnsi="Times New Roman" w:cs="Times New Roman"/>
          <w:sz w:val="28"/>
          <w:szCs w:val="28"/>
        </w:rPr>
        <w:t>ого</w:t>
      </w:r>
      <w:r w:rsidR="004841BA" w:rsidRPr="004841B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841BA">
        <w:rPr>
          <w:rFonts w:ascii="Times New Roman" w:hAnsi="Times New Roman" w:cs="Times New Roman"/>
          <w:sz w:val="28"/>
          <w:szCs w:val="28"/>
        </w:rPr>
        <w:t>а № 33-ФЗ</w:t>
      </w:r>
      <w:r w:rsidRPr="00555DDB">
        <w:rPr>
          <w:rFonts w:ascii="Times New Roman" w:hAnsi="Times New Roman" w:cs="Times New Roman"/>
          <w:sz w:val="28"/>
          <w:szCs w:val="28"/>
        </w:rPr>
        <w:t xml:space="preserve"> полномочия Главы </w:t>
      </w:r>
      <w:r w:rsidR="005B5D5F" w:rsidRPr="005B5D5F">
        <w:rPr>
          <w:rFonts w:ascii="Times New Roman" w:hAnsi="Times New Roman" w:cs="Times New Roman"/>
          <w:sz w:val="28"/>
          <w:szCs w:val="28"/>
        </w:rPr>
        <w:t>Савинского сельского поселения, Панковского городского поселения, Пролетарского городского поселение, Бронницкого сельского поселения, Ермолинского сельского поселения, Р</w:t>
      </w:r>
      <w:r w:rsidR="007644C4">
        <w:rPr>
          <w:rFonts w:ascii="Times New Roman" w:hAnsi="Times New Roman" w:cs="Times New Roman"/>
          <w:sz w:val="28"/>
          <w:szCs w:val="28"/>
        </w:rPr>
        <w:t>акомского сельского поселения,</w:t>
      </w:r>
      <w:bookmarkStart w:id="0" w:name="_GoBack"/>
      <w:bookmarkEnd w:id="0"/>
      <w:r w:rsidR="007644C4">
        <w:rPr>
          <w:rFonts w:ascii="Times New Roman" w:hAnsi="Times New Roman" w:cs="Times New Roman"/>
          <w:sz w:val="28"/>
          <w:szCs w:val="28"/>
        </w:rPr>
        <w:t xml:space="preserve"> </w:t>
      </w:r>
      <w:r w:rsidR="005B5D5F" w:rsidRPr="005B5D5F">
        <w:rPr>
          <w:rFonts w:ascii="Times New Roman" w:hAnsi="Times New Roman" w:cs="Times New Roman"/>
          <w:sz w:val="28"/>
          <w:szCs w:val="28"/>
        </w:rPr>
        <w:t>Трубичинского сельского поселения</w:t>
      </w:r>
      <w:r w:rsidR="005B5D5F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прекращаются в день вступления в должность </w:t>
      </w:r>
      <w:r w:rsidR="00255D67">
        <w:rPr>
          <w:rFonts w:ascii="Times New Roman" w:hAnsi="Times New Roman" w:cs="Times New Roman"/>
          <w:sz w:val="28"/>
          <w:szCs w:val="28"/>
        </w:rPr>
        <w:t>вновь избранного</w:t>
      </w:r>
      <w:r w:rsidR="005B5D5F" w:rsidRPr="00555DDB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="001629A0"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округа Новгородской области.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13. Определить, что до создания официальных сайтов органов местного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Новгородский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муниципальные правовые акты, проекты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 w:rsidRPr="00555D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Новгородской области, соглашения, заключаемые между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самоуправления, официальные сообщения и материалы размещаются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 xml:space="preserve">официальных сайтах органов местного самоуправления </w:t>
      </w:r>
      <w:r w:rsidR="00C17F3D">
        <w:rPr>
          <w:rFonts w:ascii="Times New Roman" w:hAnsi="Times New Roman" w:cs="Times New Roman"/>
          <w:sz w:val="28"/>
          <w:szCs w:val="28"/>
        </w:rPr>
        <w:t>Новгородского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DB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555DDB" w:rsidRPr="00555DDB" w:rsidRDefault="00555DDB" w:rsidP="001D4F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DDB">
        <w:rPr>
          <w:rFonts w:ascii="Times New Roman" w:hAnsi="Times New Roman" w:cs="Times New Roman"/>
          <w:sz w:val="28"/>
          <w:szCs w:val="28"/>
        </w:rPr>
        <w:t>1</w:t>
      </w:r>
      <w:r w:rsidR="00156A8C">
        <w:rPr>
          <w:rFonts w:ascii="Times New Roman" w:hAnsi="Times New Roman" w:cs="Times New Roman"/>
          <w:sz w:val="28"/>
          <w:szCs w:val="28"/>
        </w:rPr>
        <w:t>4</w:t>
      </w:r>
      <w:r w:rsidRPr="00555DDB">
        <w:rPr>
          <w:rFonts w:ascii="Times New Roman" w:hAnsi="Times New Roman" w:cs="Times New Roman"/>
          <w:sz w:val="28"/>
          <w:szCs w:val="28"/>
        </w:rPr>
        <w:t>. Вопросы правопреемства, не урег</w:t>
      </w:r>
      <w:r>
        <w:rPr>
          <w:rFonts w:ascii="Times New Roman" w:hAnsi="Times New Roman" w:cs="Times New Roman"/>
          <w:sz w:val="28"/>
          <w:szCs w:val="28"/>
        </w:rPr>
        <w:t xml:space="preserve">улированные настоящим решением, </w:t>
      </w:r>
      <w:r w:rsidR="00C17F3D">
        <w:rPr>
          <w:rFonts w:ascii="Times New Roman" w:hAnsi="Times New Roman" w:cs="Times New Roman"/>
          <w:sz w:val="28"/>
          <w:szCs w:val="28"/>
        </w:rPr>
        <w:t>определяются</w:t>
      </w:r>
      <w:r w:rsidRPr="00555DDB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D07BB7" w:rsidRPr="00D07BB7" w:rsidRDefault="001629A0" w:rsidP="001D4FD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6A8C">
        <w:rPr>
          <w:rFonts w:ascii="Times New Roman" w:hAnsi="Times New Roman" w:cs="Times New Roman"/>
          <w:sz w:val="28"/>
          <w:szCs w:val="28"/>
        </w:rPr>
        <w:t>5</w:t>
      </w:r>
      <w:r w:rsidR="00555DDB" w:rsidRPr="00555DDB">
        <w:rPr>
          <w:rFonts w:ascii="Times New Roman" w:hAnsi="Times New Roman" w:cs="Times New Roman"/>
          <w:sz w:val="28"/>
          <w:szCs w:val="28"/>
        </w:rPr>
        <w:t xml:space="preserve">. </w:t>
      </w:r>
      <w:r w:rsidR="00BE13AF" w:rsidRPr="00BE13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D07BB7">
        <w:rPr>
          <w:rFonts w:ascii="Times New Roman" w:hAnsi="Times New Roman" w:cs="Times New Roman"/>
          <w:sz w:val="28"/>
          <w:szCs w:val="28"/>
        </w:rPr>
        <w:t xml:space="preserve">периодическом печатном </w:t>
      </w:r>
      <w:r w:rsidR="00D07BB7">
        <w:rPr>
          <w:rFonts w:ascii="Times New Roman" w:hAnsi="Times New Roman" w:cs="Times New Roman"/>
          <w:sz w:val="28"/>
          <w:szCs w:val="28"/>
        </w:rPr>
        <w:lastRenderedPageBreak/>
        <w:t>издании «</w:t>
      </w:r>
      <w:r w:rsidR="00BE13AF" w:rsidRPr="00BE13AF">
        <w:rPr>
          <w:rFonts w:ascii="Times New Roman" w:hAnsi="Times New Roman" w:cs="Times New Roman"/>
          <w:sz w:val="28"/>
          <w:szCs w:val="28"/>
        </w:rPr>
        <w:t>Официальный вестник Новгородского муниципального район</w:t>
      </w:r>
      <w:r w:rsidR="00D07BB7">
        <w:rPr>
          <w:rFonts w:ascii="Times New Roman" w:hAnsi="Times New Roman" w:cs="Times New Roman"/>
          <w:sz w:val="28"/>
          <w:szCs w:val="28"/>
        </w:rPr>
        <w:t>а»</w:t>
      </w:r>
      <w:r w:rsidR="00BE13AF" w:rsidRPr="00BE13AF">
        <w:rPr>
          <w:rFonts w:ascii="Times New Roman" w:hAnsi="Times New Roman" w:cs="Times New Roman"/>
          <w:sz w:val="28"/>
          <w:szCs w:val="28"/>
        </w:rPr>
        <w:t xml:space="preserve"> и размести</w:t>
      </w:r>
      <w:r w:rsidR="00D07BB7">
        <w:rPr>
          <w:rFonts w:ascii="Times New Roman" w:hAnsi="Times New Roman" w:cs="Times New Roman"/>
          <w:sz w:val="28"/>
          <w:szCs w:val="28"/>
        </w:rPr>
        <w:t>ть на официальном сайте в сети «</w:t>
      </w:r>
      <w:r w:rsidR="00BE13AF" w:rsidRPr="00BE13AF">
        <w:rPr>
          <w:rFonts w:ascii="Times New Roman" w:hAnsi="Times New Roman" w:cs="Times New Roman"/>
          <w:sz w:val="28"/>
          <w:szCs w:val="28"/>
        </w:rPr>
        <w:t>Интернет</w:t>
      </w:r>
      <w:r w:rsidR="00D07BB7">
        <w:rPr>
          <w:rFonts w:ascii="Times New Roman" w:hAnsi="Times New Roman" w:cs="Times New Roman"/>
          <w:sz w:val="28"/>
          <w:szCs w:val="28"/>
        </w:rPr>
        <w:t>»</w:t>
      </w:r>
      <w:r w:rsidR="00BE13AF" w:rsidRPr="00BE13AF">
        <w:rPr>
          <w:rFonts w:ascii="Times New Roman" w:hAnsi="Times New Roman" w:cs="Times New Roman"/>
          <w:sz w:val="28"/>
          <w:szCs w:val="28"/>
        </w:rPr>
        <w:t>.</w:t>
      </w:r>
    </w:p>
    <w:p w:rsidR="00D07BB7" w:rsidRPr="00156E21" w:rsidRDefault="00D07BB7" w:rsidP="00156E21">
      <w:pPr>
        <w:widowControl/>
        <w:autoSpaceDE/>
        <w:autoSpaceDN/>
        <w:adjustRightInd/>
        <w:spacing w:line="240" w:lineRule="exact"/>
        <w:ind w:left="-119"/>
        <w:rPr>
          <w:rFonts w:ascii="Times New Roman" w:hAnsi="Times New Roman" w:cs="Times New Roman"/>
          <w:sz w:val="28"/>
          <w:szCs w:val="28"/>
        </w:rPr>
      </w:pPr>
    </w:p>
    <w:p w:rsidR="00156E21" w:rsidRPr="00156E21" w:rsidRDefault="00156E21" w:rsidP="00156E21">
      <w:pPr>
        <w:widowControl/>
        <w:autoSpaceDE/>
        <w:autoSpaceDN/>
        <w:adjustRightInd/>
        <w:spacing w:line="240" w:lineRule="exact"/>
        <w:ind w:left="-11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7"/>
        <w:gridCol w:w="4677"/>
      </w:tblGrid>
      <w:tr w:rsidR="00156E21" w:rsidRPr="009513EA" w:rsidTr="00104E8D">
        <w:trPr>
          <w:trHeight w:val="735"/>
        </w:trPr>
        <w:tc>
          <w:tcPr>
            <w:tcW w:w="4927" w:type="dxa"/>
            <w:hideMark/>
          </w:tcPr>
          <w:p w:rsidR="00156E21" w:rsidRPr="009513EA" w:rsidRDefault="00156E21" w:rsidP="00104E8D">
            <w:pPr>
              <w:keepNext/>
              <w:widowControl/>
              <w:autoSpaceDE/>
              <w:autoSpaceDN/>
              <w:adjustRightInd/>
              <w:spacing w:before="40" w:line="240" w:lineRule="exact"/>
              <w:ind w:firstLine="0"/>
              <w:jc w:val="lef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Toc157680830"/>
            <w:r w:rsidRPr="009513EA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bookmarkEnd w:id="1"/>
            <w:r w:rsidRPr="00951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56E21" w:rsidRPr="009513EA" w:rsidRDefault="00156E21" w:rsidP="00104E8D">
            <w:pPr>
              <w:keepNext/>
              <w:widowControl/>
              <w:autoSpaceDE/>
              <w:autoSpaceDN/>
              <w:adjustRightInd/>
              <w:spacing w:before="40" w:line="240" w:lineRule="exact"/>
              <w:ind w:firstLine="0"/>
              <w:jc w:val="lef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Toc157680831"/>
            <w:r w:rsidRPr="009513E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bookmarkEnd w:id="2"/>
          </w:p>
          <w:p w:rsidR="00156E21" w:rsidRPr="009513EA" w:rsidRDefault="00156E21" w:rsidP="00104E8D">
            <w:pPr>
              <w:widowControl/>
              <w:autoSpaceDE/>
              <w:autoSpaceDN/>
              <w:adjustRightInd/>
              <w:spacing w:before="4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  <w:hideMark/>
          </w:tcPr>
          <w:p w:rsidR="00156E21" w:rsidRPr="009513EA" w:rsidRDefault="00156E21" w:rsidP="00104E8D">
            <w:pPr>
              <w:widowControl/>
              <w:autoSpaceDE/>
              <w:autoSpaceDN/>
              <w:adjustRightInd/>
              <w:spacing w:before="4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Думы </w:t>
            </w:r>
          </w:p>
          <w:p w:rsidR="00156E21" w:rsidRPr="009513EA" w:rsidRDefault="00156E21" w:rsidP="00104E8D">
            <w:pPr>
              <w:widowControl/>
              <w:autoSpaceDE/>
              <w:autoSpaceDN/>
              <w:adjustRightInd/>
              <w:spacing w:before="4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</w:tc>
      </w:tr>
      <w:tr w:rsidR="00156E21" w:rsidRPr="009513EA" w:rsidTr="00104E8D">
        <w:trPr>
          <w:trHeight w:val="276"/>
        </w:trPr>
        <w:tc>
          <w:tcPr>
            <w:tcW w:w="4927" w:type="dxa"/>
          </w:tcPr>
          <w:p w:rsidR="00156E21" w:rsidRPr="009513EA" w:rsidRDefault="00156E21" w:rsidP="00104E8D">
            <w:pPr>
              <w:widowControl/>
              <w:autoSpaceDE/>
              <w:autoSpaceDN/>
              <w:adjustRightInd/>
              <w:spacing w:before="40" w:line="240" w:lineRule="exact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 Дементьев</w:t>
            </w:r>
          </w:p>
        </w:tc>
        <w:tc>
          <w:tcPr>
            <w:tcW w:w="4928" w:type="dxa"/>
          </w:tcPr>
          <w:p w:rsidR="00156E21" w:rsidRPr="009513EA" w:rsidRDefault="00156E21" w:rsidP="00104E8D">
            <w:pPr>
              <w:widowControl/>
              <w:autoSpaceDE/>
              <w:autoSpaceDN/>
              <w:adjustRightInd/>
              <w:spacing w:before="40" w:line="240" w:lineRule="exact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EA">
              <w:rPr>
                <w:rFonts w:ascii="Times New Roman" w:hAnsi="Times New Roman" w:cs="Times New Roman"/>
                <w:b/>
                <w:sz w:val="28"/>
                <w:szCs w:val="28"/>
              </w:rPr>
              <w:t>К.Н. Харламов</w:t>
            </w:r>
          </w:p>
        </w:tc>
      </w:tr>
    </w:tbl>
    <w:p w:rsidR="00B11350" w:rsidRPr="00D07BB7" w:rsidRDefault="00B11350" w:rsidP="00D07BB7">
      <w:pPr>
        <w:widowControl/>
        <w:autoSpaceDE/>
        <w:autoSpaceDN/>
        <w:adjustRightInd/>
        <w:ind w:right="291" w:firstLine="0"/>
        <w:rPr>
          <w:rFonts w:ascii="Times New Roman" w:hAnsi="Times New Roman" w:cs="Times New Roman"/>
          <w:sz w:val="28"/>
          <w:szCs w:val="28"/>
        </w:rPr>
      </w:pPr>
    </w:p>
    <w:sectPr w:rsidR="00B11350" w:rsidRPr="00D07BB7" w:rsidSect="00F4319B">
      <w:headerReference w:type="default" r:id="rId8"/>
      <w:headerReference w:type="first" r:id="rId9"/>
      <w:pgSz w:w="11906" w:h="16838" w:code="9"/>
      <w:pgMar w:top="1134" w:right="567" w:bottom="1134" w:left="1985" w:header="567" w:footer="567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69" w:rsidRDefault="00C47E69" w:rsidP="00D07447">
      <w:r>
        <w:separator/>
      </w:r>
    </w:p>
  </w:endnote>
  <w:endnote w:type="continuationSeparator" w:id="0">
    <w:p w:rsidR="00C47E69" w:rsidRDefault="00C47E69" w:rsidP="00D0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69" w:rsidRDefault="00C47E69" w:rsidP="00D07447">
      <w:r>
        <w:separator/>
      </w:r>
    </w:p>
  </w:footnote>
  <w:footnote w:type="continuationSeparator" w:id="0">
    <w:p w:rsidR="00C47E69" w:rsidRDefault="00C47E69" w:rsidP="00D07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419880"/>
      <w:docPartObj>
        <w:docPartGallery w:val="Page Numbers (Top of Page)"/>
        <w:docPartUnique/>
      </w:docPartObj>
    </w:sdtPr>
    <w:sdtContent>
      <w:p w:rsidR="001D4FD8" w:rsidRDefault="00F4319B" w:rsidP="00F4319B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C4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D8" w:rsidRDefault="001D4FD8" w:rsidP="00F4319B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3C55"/>
    <w:multiLevelType w:val="hybridMultilevel"/>
    <w:tmpl w:val="196CBE6C"/>
    <w:lvl w:ilvl="0" w:tplc="1B6A25D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2F1836"/>
    <w:multiLevelType w:val="hybridMultilevel"/>
    <w:tmpl w:val="AE2E9340"/>
    <w:lvl w:ilvl="0" w:tplc="950EDB3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3"/>
    <w:rsid w:val="00004B1A"/>
    <w:rsid w:val="00005497"/>
    <w:rsid w:val="00013630"/>
    <w:rsid w:val="000403A6"/>
    <w:rsid w:val="00045048"/>
    <w:rsid w:val="00046F2E"/>
    <w:rsid w:val="000514AA"/>
    <w:rsid w:val="00063075"/>
    <w:rsid w:val="0006323D"/>
    <w:rsid w:val="00081393"/>
    <w:rsid w:val="000906B7"/>
    <w:rsid w:val="000A6609"/>
    <w:rsid w:val="000A6EC3"/>
    <w:rsid w:val="000A7631"/>
    <w:rsid w:val="000B2CA2"/>
    <w:rsid w:val="000B7C92"/>
    <w:rsid w:val="000E2265"/>
    <w:rsid w:val="00112CEB"/>
    <w:rsid w:val="0011606B"/>
    <w:rsid w:val="0012277D"/>
    <w:rsid w:val="00156A8C"/>
    <w:rsid w:val="00156E21"/>
    <w:rsid w:val="001629A0"/>
    <w:rsid w:val="00164B5D"/>
    <w:rsid w:val="00181729"/>
    <w:rsid w:val="0019689D"/>
    <w:rsid w:val="001A26EE"/>
    <w:rsid w:val="001A653B"/>
    <w:rsid w:val="001B50C4"/>
    <w:rsid w:val="001C3511"/>
    <w:rsid w:val="001D1190"/>
    <w:rsid w:val="001D2888"/>
    <w:rsid w:val="001D2DDF"/>
    <w:rsid w:val="001D4FD8"/>
    <w:rsid w:val="001D65F4"/>
    <w:rsid w:val="001E44BA"/>
    <w:rsid w:val="001E6C20"/>
    <w:rsid w:val="001E7864"/>
    <w:rsid w:val="001F131D"/>
    <w:rsid w:val="00211094"/>
    <w:rsid w:val="00224E12"/>
    <w:rsid w:val="00226729"/>
    <w:rsid w:val="00231B44"/>
    <w:rsid w:val="00255D67"/>
    <w:rsid w:val="00270F70"/>
    <w:rsid w:val="002735C9"/>
    <w:rsid w:val="00275263"/>
    <w:rsid w:val="00284277"/>
    <w:rsid w:val="002A25EB"/>
    <w:rsid w:val="002B3F59"/>
    <w:rsid w:val="002D63FA"/>
    <w:rsid w:val="002E1D53"/>
    <w:rsid w:val="002F32AA"/>
    <w:rsid w:val="002F36E3"/>
    <w:rsid w:val="002F68DF"/>
    <w:rsid w:val="0032363C"/>
    <w:rsid w:val="003360D3"/>
    <w:rsid w:val="0035058D"/>
    <w:rsid w:val="00354BC6"/>
    <w:rsid w:val="00362FAF"/>
    <w:rsid w:val="00366D21"/>
    <w:rsid w:val="003718B3"/>
    <w:rsid w:val="003A0CE2"/>
    <w:rsid w:val="003A2A84"/>
    <w:rsid w:val="003A4953"/>
    <w:rsid w:val="003D665F"/>
    <w:rsid w:val="003F2B2A"/>
    <w:rsid w:val="00406DF3"/>
    <w:rsid w:val="00413AC6"/>
    <w:rsid w:val="00434AC4"/>
    <w:rsid w:val="00466CD3"/>
    <w:rsid w:val="004723B5"/>
    <w:rsid w:val="00475A19"/>
    <w:rsid w:val="00475EF6"/>
    <w:rsid w:val="004841BA"/>
    <w:rsid w:val="00491243"/>
    <w:rsid w:val="004F2942"/>
    <w:rsid w:val="005100D8"/>
    <w:rsid w:val="0051099C"/>
    <w:rsid w:val="005138FA"/>
    <w:rsid w:val="005232B4"/>
    <w:rsid w:val="00555DDB"/>
    <w:rsid w:val="00556B9C"/>
    <w:rsid w:val="0055795B"/>
    <w:rsid w:val="0056105E"/>
    <w:rsid w:val="00562173"/>
    <w:rsid w:val="00563F6A"/>
    <w:rsid w:val="005A15B1"/>
    <w:rsid w:val="005A64F9"/>
    <w:rsid w:val="005B5D5F"/>
    <w:rsid w:val="005D6553"/>
    <w:rsid w:val="005F3500"/>
    <w:rsid w:val="005F5258"/>
    <w:rsid w:val="00606335"/>
    <w:rsid w:val="00620CD4"/>
    <w:rsid w:val="006247EE"/>
    <w:rsid w:val="0063237C"/>
    <w:rsid w:val="00635535"/>
    <w:rsid w:val="00663617"/>
    <w:rsid w:val="00663D46"/>
    <w:rsid w:val="00694CC9"/>
    <w:rsid w:val="0069754C"/>
    <w:rsid w:val="006A20F0"/>
    <w:rsid w:val="006B1DA1"/>
    <w:rsid w:val="006B496B"/>
    <w:rsid w:val="006E5C10"/>
    <w:rsid w:val="006F1FBF"/>
    <w:rsid w:val="006F37B8"/>
    <w:rsid w:val="006F760D"/>
    <w:rsid w:val="00702916"/>
    <w:rsid w:val="00707F8D"/>
    <w:rsid w:val="0071017C"/>
    <w:rsid w:val="00711D94"/>
    <w:rsid w:val="00715F36"/>
    <w:rsid w:val="00717F74"/>
    <w:rsid w:val="00725EDA"/>
    <w:rsid w:val="0074247F"/>
    <w:rsid w:val="00746580"/>
    <w:rsid w:val="00754B92"/>
    <w:rsid w:val="00761343"/>
    <w:rsid w:val="007644C4"/>
    <w:rsid w:val="007671A6"/>
    <w:rsid w:val="00772CE8"/>
    <w:rsid w:val="00783E18"/>
    <w:rsid w:val="007910F2"/>
    <w:rsid w:val="007932FC"/>
    <w:rsid w:val="007A7031"/>
    <w:rsid w:val="007B60AB"/>
    <w:rsid w:val="007C6341"/>
    <w:rsid w:val="007F4A4D"/>
    <w:rsid w:val="0080254A"/>
    <w:rsid w:val="00817DF1"/>
    <w:rsid w:val="00822318"/>
    <w:rsid w:val="008300DD"/>
    <w:rsid w:val="00854D1E"/>
    <w:rsid w:val="00856822"/>
    <w:rsid w:val="008754C6"/>
    <w:rsid w:val="00890E04"/>
    <w:rsid w:val="008A1B9D"/>
    <w:rsid w:val="008A7AAF"/>
    <w:rsid w:val="008C275A"/>
    <w:rsid w:val="008C3E5C"/>
    <w:rsid w:val="008C4AAF"/>
    <w:rsid w:val="008C5976"/>
    <w:rsid w:val="008D1EB7"/>
    <w:rsid w:val="008E31CC"/>
    <w:rsid w:val="008E7344"/>
    <w:rsid w:val="008F4DEE"/>
    <w:rsid w:val="008F66BC"/>
    <w:rsid w:val="00901139"/>
    <w:rsid w:val="00913FFC"/>
    <w:rsid w:val="00917184"/>
    <w:rsid w:val="00935D8E"/>
    <w:rsid w:val="009461DF"/>
    <w:rsid w:val="00955E7E"/>
    <w:rsid w:val="009568C5"/>
    <w:rsid w:val="00960F27"/>
    <w:rsid w:val="00961A33"/>
    <w:rsid w:val="009A6DE6"/>
    <w:rsid w:val="009A6E48"/>
    <w:rsid w:val="009B075E"/>
    <w:rsid w:val="009C2CC8"/>
    <w:rsid w:val="009C4080"/>
    <w:rsid w:val="009F46C7"/>
    <w:rsid w:val="00A062B0"/>
    <w:rsid w:val="00A1745C"/>
    <w:rsid w:val="00A21CA7"/>
    <w:rsid w:val="00A26F12"/>
    <w:rsid w:val="00A30D7E"/>
    <w:rsid w:val="00A45CB2"/>
    <w:rsid w:val="00A5499D"/>
    <w:rsid w:val="00A728AF"/>
    <w:rsid w:val="00A7425D"/>
    <w:rsid w:val="00A829D7"/>
    <w:rsid w:val="00A85A21"/>
    <w:rsid w:val="00A937EE"/>
    <w:rsid w:val="00AA042B"/>
    <w:rsid w:val="00AA6E11"/>
    <w:rsid w:val="00AC4B8F"/>
    <w:rsid w:val="00AF2977"/>
    <w:rsid w:val="00AF535A"/>
    <w:rsid w:val="00B07CCF"/>
    <w:rsid w:val="00B11350"/>
    <w:rsid w:val="00B32F8D"/>
    <w:rsid w:val="00B51FA5"/>
    <w:rsid w:val="00B776B3"/>
    <w:rsid w:val="00BA50F1"/>
    <w:rsid w:val="00BB5E2E"/>
    <w:rsid w:val="00BB7E94"/>
    <w:rsid w:val="00BC2B2B"/>
    <w:rsid w:val="00BD32BA"/>
    <w:rsid w:val="00BD5596"/>
    <w:rsid w:val="00BE13AF"/>
    <w:rsid w:val="00BF17E2"/>
    <w:rsid w:val="00C17F3D"/>
    <w:rsid w:val="00C238AD"/>
    <w:rsid w:val="00C34F45"/>
    <w:rsid w:val="00C442F3"/>
    <w:rsid w:val="00C47E69"/>
    <w:rsid w:val="00C47FC1"/>
    <w:rsid w:val="00C51F46"/>
    <w:rsid w:val="00C54862"/>
    <w:rsid w:val="00C759F6"/>
    <w:rsid w:val="00C82DE3"/>
    <w:rsid w:val="00C92862"/>
    <w:rsid w:val="00CA79E7"/>
    <w:rsid w:val="00CB1D85"/>
    <w:rsid w:val="00CB6C46"/>
    <w:rsid w:val="00CC3449"/>
    <w:rsid w:val="00CC39B2"/>
    <w:rsid w:val="00CC4881"/>
    <w:rsid w:val="00D07447"/>
    <w:rsid w:val="00D07BB7"/>
    <w:rsid w:val="00D1090E"/>
    <w:rsid w:val="00D270A1"/>
    <w:rsid w:val="00D4185D"/>
    <w:rsid w:val="00D71F04"/>
    <w:rsid w:val="00D72770"/>
    <w:rsid w:val="00D74345"/>
    <w:rsid w:val="00D83B6F"/>
    <w:rsid w:val="00D85699"/>
    <w:rsid w:val="00D86775"/>
    <w:rsid w:val="00DB1FC6"/>
    <w:rsid w:val="00DB6353"/>
    <w:rsid w:val="00DD023A"/>
    <w:rsid w:val="00DD33C7"/>
    <w:rsid w:val="00DE0318"/>
    <w:rsid w:val="00DE6A5B"/>
    <w:rsid w:val="00DF237C"/>
    <w:rsid w:val="00DF60EF"/>
    <w:rsid w:val="00E01767"/>
    <w:rsid w:val="00E0208D"/>
    <w:rsid w:val="00E11624"/>
    <w:rsid w:val="00E14406"/>
    <w:rsid w:val="00E153AC"/>
    <w:rsid w:val="00E60BF5"/>
    <w:rsid w:val="00E651D1"/>
    <w:rsid w:val="00E76D06"/>
    <w:rsid w:val="00E81069"/>
    <w:rsid w:val="00E82F0F"/>
    <w:rsid w:val="00E94C92"/>
    <w:rsid w:val="00E95A84"/>
    <w:rsid w:val="00EA43C8"/>
    <w:rsid w:val="00EA4F45"/>
    <w:rsid w:val="00EA7D95"/>
    <w:rsid w:val="00EE3585"/>
    <w:rsid w:val="00EE35D4"/>
    <w:rsid w:val="00EF6B19"/>
    <w:rsid w:val="00F0076B"/>
    <w:rsid w:val="00F310A7"/>
    <w:rsid w:val="00F32321"/>
    <w:rsid w:val="00F37199"/>
    <w:rsid w:val="00F4319B"/>
    <w:rsid w:val="00F4559F"/>
    <w:rsid w:val="00F52A4C"/>
    <w:rsid w:val="00F537FD"/>
    <w:rsid w:val="00F53CC6"/>
    <w:rsid w:val="00F54D3C"/>
    <w:rsid w:val="00F57C0B"/>
    <w:rsid w:val="00F65E86"/>
    <w:rsid w:val="00F90D4C"/>
    <w:rsid w:val="00F93015"/>
    <w:rsid w:val="00F958CD"/>
    <w:rsid w:val="00F9742C"/>
    <w:rsid w:val="00FA360D"/>
    <w:rsid w:val="00FA3D7F"/>
    <w:rsid w:val="00FA58A7"/>
    <w:rsid w:val="00FB052C"/>
    <w:rsid w:val="00FC3950"/>
    <w:rsid w:val="00FE1370"/>
    <w:rsid w:val="00FE340B"/>
    <w:rsid w:val="00FE7BA8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853B6E-A2F3-43DC-890F-6D5BB16C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3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30"/>
      <w:szCs w:val="3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32"/>
      <w:szCs w:val="32"/>
    </w:rPr>
  </w:style>
  <w:style w:type="paragraph" w:styleId="a6">
    <w:name w:val="Title"/>
    <w:basedOn w:val="a5"/>
    <w:next w:val="a"/>
    <w:link w:val="a7"/>
    <w:uiPriority w:val="99"/>
    <w:rPr>
      <w:b/>
      <w:bCs/>
      <w:color w:val="C0C0C0"/>
    </w:rPr>
  </w:style>
  <w:style w:type="character" w:customStyle="1" w:styleId="a7">
    <w:name w:val="Название Знак"/>
    <w:basedOn w:val="a0"/>
    <w:link w:val="a6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a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b">
    <w:name w:val="Колонтитул (левый)"/>
    <w:basedOn w:val="aa"/>
    <w:next w:val="a"/>
    <w:uiPriority w:val="99"/>
    <w:rPr>
      <w:sz w:val="24"/>
      <w:szCs w:val="24"/>
    </w:rPr>
  </w:style>
  <w:style w:type="paragraph" w:customStyle="1" w:styleId="ac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d">
    <w:name w:val="Колонтитул (правый)"/>
    <w:basedOn w:val="ac"/>
    <w:next w:val="a"/>
    <w:uiPriority w:val="99"/>
    <w:rPr>
      <w:sz w:val="24"/>
      <w:szCs w:val="24"/>
    </w:rPr>
  </w:style>
  <w:style w:type="paragraph" w:customStyle="1" w:styleId="ae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f">
    <w:name w:val="Комментарий пользователя"/>
    <w:basedOn w:val="ae"/>
    <w:next w:val="a"/>
    <w:uiPriority w:val="99"/>
    <w:pPr>
      <w:jc w:val="left"/>
    </w:pPr>
    <w:rPr>
      <w:color w:val="000080"/>
    </w:rPr>
  </w:style>
  <w:style w:type="character" w:customStyle="1" w:styleId="af0">
    <w:name w:val="Найденные слова"/>
    <w:basedOn w:val="a3"/>
    <w:uiPriority w:val="99"/>
    <w:rPr>
      <w:rFonts w:cs="Times New Roman"/>
      <w:b/>
      <w:bCs/>
      <w:color w:val="000080"/>
      <w:sz w:val="30"/>
      <w:szCs w:val="30"/>
    </w:rPr>
  </w:style>
  <w:style w:type="character" w:customStyle="1" w:styleId="af1">
    <w:name w:val="Не вступил в силу"/>
    <w:basedOn w:val="a3"/>
    <w:uiPriority w:val="99"/>
    <w:rPr>
      <w:rFonts w:cs="Times New Roman"/>
      <w:b/>
      <w:bCs/>
      <w:color w:val="008080"/>
      <w:sz w:val="30"/>
      <w:szCs w:val="30"/>
    </w:rPr>
  </w:style>
  <w:style w:type="paragraph" w:customStyle="1" w:styleId="af2">
    <w:name w:val="Объект"/>
    <w:basedOn w:val="a"/>
    <w:next w:val="a"/>
    <w:uiPriority w:val="99"/>
  </w:style>
  <w:style w:type="paragraph" w:customStyle="1" w:styleId="af3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3"/>
    <w:next w:val="a"/>
    <w:uiPriority w:val="99"/>
    <w:pPr>
      <w:ind w:left="140"/>
    </w:pPr>
  </w:style>
  <w:style w:type="paragraph" w:customStyle="1" w:styleId="af5">
    <w:name w:val="Переменная часть"/>
    <w:basedOn w:val="a5"/>
    <w:next w:val="a"/>
    <w:uiPriority w:val="99"/>
    <w:rPr>
      <w:sz w:val="28"/>
      <w:szCs w:val="28"/>
    </w:rPr>
  </w:style>
  <w:style w:type="paragraph" w:customStyle="1" w:styleId="af6">
    <w:name w:val="Постоянная часть"/>
    <w:basedOn w:val="a5"/>
    <w:next w:val="a"/>
    <w:uiPriority w:val="99"/>
    <w:rPr>
      <w:sz w:val="30"/>
      <w:szCs w:val="30"/>
    </w:rPr>
  </w:style>
  <w:style w:type="paragraph" w:customStyle="1" w:styleId="af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8">
    <w:name w:val="Продолжение ссылки"/>
    <w:basedOn w:val="a4"/>
    <w:uiPriority w:val="99"/>
    <w:rPr>
      <w:rFonts w:cs="Times New Roman"/>
      <w:b/>
      <w:bCs/>
      <w:color w:val="008000"/>
      <w:sz w:val="30"/>
      <w:szCs w:val="30"/>
      <w:u w:val="single"/>
    </w:rPr>
  </w:style>
  <w:style w:type="paragraph" w:customStyle="1" w:styleId="af9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b">
    <w:name w:val="Утратил силу"/>
    <w:basedOn w:val="a3"/>
    <w:uiPriority w:val="99"/>
    <w:rPr>
      <w:rFonts w:cs="Times New Roman"/>
      <w:b/>
      <w:bCs/>
      <w:strike/>
      <w:color w:val="808000"/>
      <w:sz w:val="30"/>
      <w:szCs w:val="30"/>
    </w:rPr>
  </w:style>
  <w:style w:type="paragraph" w:styleId="21">
    <w:name w:val="Body Text 2"/>
    <w:basedOn w:val="a"/>
    <w:link w:val="22"/>
    <w:uiPriority w:val="99"/>
    <w:rsid w:val="00D1090E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30"/>
      <w:szCs w:val="30"/>
    </w:rPr>
  </w:style>
  <w:style w:type="paragraph" w:styleId="afc">
    <w:name w:val="header"/>
    <w:aliases w:val="Header Char"/>
    <w:basedOn w:val="a"/>
    <w:link w:val="afd"/>
    <w:uiPriority w:val="99"/>
    <w:rsid w:val="00D07447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imes New Roman" w:hAnsi="Times New Roman" w:cs="Times New Roman"/>
      <w:kern w:val="28"/>
      <w:sz w:val="28"/>
      <w:szCs w:val="20"/>
    </w:rPr>
  </w:style>
  <w:style w:type="character" w:customStyle="1" w:styleId="afd">
    <w:name w:val="Верхний колонтитул Знак"/>
    <w:aliases w:val="Header Char Знак"/>
    <w:basedOn w:val="a0"/>
    <w:link w:val="afc"/>
    <w:uiPriority w:val="99"/>
    <w:locked/>
    <w:rsid w:val="00D07447"/>
    <w:rPr>
      <w:rFonts w:cs="Times New Roman"/>
      <w:kern w:val="28"/>
      <w:sz w:val="20"/>
      <w:szCs w:val="20"/>
    </w:rPr>
  </w:style>
  <w:style w:type="paragraph" w:styleId="afe">
    <w:name w:val="footnote text"/>
    <w:basedOn w:val="a"/>
    <w:link w:val="aff"/>
    <w:uiPriority w:val="99"/>
    <w:rsid w:val="00D07447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kern w:val="28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locked/>
    <w:rsid w:val="00D07447"/>
    <w:rPr>
      <w:rFonts w:cs="Times New Roman"/>
      <w:kern w:val="28"/>
      <w:sz w:val="20"/>
      <w:szCs w:val="20"/>
    </w:rPr>
  </w:style>
  <w:style w:type="character" w:styleId="aff0">
    <w:name w:val="footnote reference"/>
    <w:basedOn w:val="a0"/>
    <w:uiPriority w:val="99"/>
    <w:rsid w:val="00D07447"/>
    <w:rPr>
      <w:rFonts w:cs="Times New Roman"/>
      <w:vertAlign w:val="superscript"/>
    </w:rPr>
  </w:style>
  <w:style w:type="paragraph" w:styleId="aff1">
    <w:name w:val="footer"/>
    <w:basedOn w:val="a"/>
    <w:link w:val="aff2"/>
    <w:uiPriority w:val="99"/>
    <w:unhideWhenUsed/>
    <w:rsid w:val="008300DD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locked/>
    <w:rsid w:val="008300DD"/>
    <w:rPr>
      <w:rFonts w:ascii="Arial" w:hAnsi="Arial" w:cs="Arial"/>
      <w:sz w:val="30"/>
      <w:szCs w:val="30"/>
    </w:rPr>
  </w:style>
  <w:style w:type="paragraph" w:styleId="aff3">
    <w:name w:val="Balloon Text"/>
    <w:basedOn w:val="a"/>
    <w:link w:val="aff4"/>
    <w:uiPriority w:val="99"/>
    <w:semiHidden/>
    <w:unhideWhenUsed/>
    <w:rsid w:val="000B2CA2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locked/>
    <w:rsid w:val="000B2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1318</Words>
  <Characters>11893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Новгородского муниципального района Новгородской области</vt:lpstr>
    </vt:vector>
  </TitlesOfParts>
  <Company>Администрация Новгородского муниципального района</Company>
  <LinksUpToDate>false</LinksUpToDate>
  <CharactersWithSpaces>13185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Новгородского муниципального района Новгородской области</dc:title>
  <dc:subject/>
  <dc:creator>Kashentsev</dc:creator>
  <cp:keywords/>
  <dc:description/>
  <cp:lastModifiedBy>Голенкова Татьяна Владимировна</cp:lastModifiedBy>
  <cp:revision>23</cp:revision>
  <cp:lastPrinted>2025-09-25T10:05:00Z</cp:lastPrinted>
  <dcterms:created xsi:type="dcterms:W3CDTF">2025-09-25T08:26:00Z</dcterms:created>
  <dcterms:modified xsi:type="dcterms:W3CDTF">2025-10-13T09:25:00Z</dcterms:modified>
</cp:coreProperties>
</file>