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Методические рекомендации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1. Введение</w:t>
      </w:r>
    </w:p>
    <w:p>
      <w:pPr>
        <w:spacing w:after="0" w:line="240" w:lineRule="auto"/>
        <w:jc w:val="center"/>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 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44-ФЗ и Федеральный закон № 223-ФЗ соответственно).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от 25 декабря 2008 г. № 273-ФЗ "О противодействии коррупции" (далее – Федеральный закон № 273-ФЗ) порядка осуществления </w:t>
      </w:r>
      <w:r>
        <w:rPr>
          <w:rFonts w:ascii="Times New Roman" w:hAnsi="Times New Roman" w:cs="Times New Roman"/>
          <w:b/>
          <w:sz w:val="28"/>
          <w:szCs w:val="28"/>
        </w:rPr>
        <w:t>работы</w:t>
      </w:r>
      <w:r>
        <w:rPr>
          <w:rFonts w:ascii="Times New Roman" w:hAnsi="Times New Roman" w:cs="Times New Roman"/>
          <w:sz w:val="28"/>
          <w:szCs w:val="28"/>
        </w:rPr>
        <w:t xml:space="preserve">, </w:t>
      </w:r>
      <w:r>
        <w:rPr>
          <w:rFonts w:ascii="Times New Roman" w:hAnsi="Times New Roman" w:cs="Times New Roman"/>
          <w:b/>
          <w:sz w:val="28"/>
          <w:szCs w:val="28"/>
        </w:rPr>
        <w:t>направленной на выявление личной заинтересованности служащих (работников)</w:t>
      </w:r>
      <w:r>
        <w:rPr>
          <w:rFonts w:ascii="Times New Roman" w:hAnsi="Times New Roman" w:cs="Times New Roman"/>
          <w:sz w:val="28"/>
          <w:szCs w:val="28"/>
        </w:rPr>
        <w:t>, которая приводит или может привести к конфликту интересов при осуществлении закупок в соответствии с Федеральным законом № 44-ФЗ и Федеральным законом № 223-ФЗ.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частью 8 статьи 31 Федерального закона № 44-ФЗ.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Pr>
          <w:rStyle w:val="4"/>
          <w:rFonts w:ascii="Times New Roman" w:hAnsi="Times New Roman" w:cs="Times New Roman"/>
          <w:sz w:val="28"/>
          <w:szCs w:val="28"/>
        </w:rPr>
        <w:footnoteReference w:id="0"/>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1.3. Одновременно в соответствии с частью 1 статьи 10 Федерального закона №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1.4. В соответствии с частью 3 статьи 10 Федерального </w:t>
      </w:r>
      <w:r>
        <w:rPr>
          <w:rFonts w:ascii="Times New Roman" w:hAnsi="Times New Roman" w:cs="Times New Roman"/>
          <w:sz w:val="28"/>
          <w:szCs w:val="28"/>
        </w:rPr>
        <w:br w:type="textWrapping"/>
      </w:r>
      <w:r>
        <w:rPr>
          <w:rFonts w:ascii="Times New Roman" w:hAnsi="Times New Roman" w:cs="Times New Roman"/>
          <w:sz w:val="28"/>
          <w:szCs w:val="28"/>
        </w:rPr>
        <w:t xml:space="preserve">закона № 273-ФЗ обязанность принимать меры по предотвращению и урегулированию конфликта интересов возлагается: </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на государственных и муниципальных служащих; </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 на иные категории лиц в случаях, предусмотренных федеральными законами.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1.5. Вместе с тем Федеральным законом № 223-ФЗ установлены общие принципы осуществления закупки и основные требования к закупке, которые распространяются на широкий перечень организаций. </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1.6. При организации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необходимо реализовать ряд правовых, организационных, профилактических и иных мероприятий.</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1.7. Для определения наличия (отсутствия) личной заинтересованности целесообразно руководствоваться соответствующими 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Pr>
          <w:rStyle w:val="4"/>
          <w:rFonts w:ascii="Times New Roman" w:hAnsi="Times New Roman" w:cs="Times New Roman"/>
          <w:sz w:val="28"/>
          <w:szCs w:val="28"/>
        </w:rPr>
        <w:footnoteReference w:id="1"/>
      </w:r>
    </w:p>
    <w:p>
      <w:pPr>
        <w:spacing w:after="0" w:line="240" w:lineRule="auto"/>
        <w:ind w:firstLine="709"/>
        <w:jc w:val="both"/>
        <w:outlineLvl w:val="0"/>
        <w:rPr>
          <w:rFonts w:ascii="Times New Roman" w:hAnsi="Times New Roman" w:cs="Times New Roman"/>
          <w:sz w:val="28"/>
          <w:szCs w:val="28"/>
        </w:rPr>
      </w:pPr>
    </w:p>
    <w:p>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pPr>
        <w:spacing w:after="0" w:line="240" w:lineRule="auto"/>
        <w:ind w:firstLine="709"/>
        <w:jc w:val="center"/>
        <w:outlineLvl w:val="0"/>
        <w:rPr>
          <w:rFonts w:ascii="Times New Roman" w:hAnsi="Times New Roman" w:cs="Times New Roman"/>
          <w:b/>
          <w:i/>
          <w:sz w:val="28"/>
          <w:szCs w:val="28"/>
        </w:rPr>
      </w:pPr>
      <w:r>
        <w:rPr>
          <w:rFonts w:ascii="Times New Roman" w:hAnsi="Times New Roman" w:cs="Times New Roman"/>
          <w:b/>
          <w:i/>
          <w:sz w:val="28"/>
          <w:szCs w:val="28"/>
        </w:rPr>
        <w:t>2. Организация работы по выявлению личной заинтересованности служащих (работников) при осуществлении закупок</w:t>
      </w:r>
    </w:p>
    <w:p>
      <w:pPr>
        <w:spacing w:after="0" w:line="240" w:lineRule="auto"/>
        <w:ind w:firstLine="709"/>
        <w:jc w:val="both"/>
        <w:outlineLvl w:val="0"/>
        <w:rPr>
          <w:rFonts w:ascii="Times New Roman" w:hAnsi="Times New Roman" w:cs="Times New Roman"/>
          <w:sz w:val="28"/>
          <w:szCs w:val="28"/>
        </w:rPr>
      </w:pP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Таким образом, подобное взаимодействие, исходя из фактических обстоятельств, может быть организовано следующими способами: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в официальном порядке (например, служебная переписка);</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иные способы.</w:t>
      </w:r>
    </w:p>
    <w:p>
      <w:pPr>
        <w:spacing w:after="0" w:line="240" w:lineRule="auto"/>
        <w:ind w:firstLine="709"/>
        <w:jc w:val="both"/>
        <w:outlineLvl w:val="0"/>
        <w:rPr>
          <w:rFonts w:ascii="Times New Roman" w:hAnsi="Times New Roman" w:cs="Times New Roman"/>
          <w:sz w:val="28"/>
          <w:szCs w:val="28"/>
        </w:rPr>
      </w:pPr>
    </w:p>
    <w:p>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pPr>
        <w:spacing w:after="0" w:line="240" w:lineRule="auto"/>
        <w:ind w:firstLine="709"/>
        <w:jc w:val="center"/>
        <w:outlineLvl w:val="0"/>
        <w:rPr>
          <w:rFonts w:ascii="Times New Roman" w:hAnsi="Times New Roman" w:cs="Times New Roman"/>
          <w:b/>
          <w:i/>
          <w:sz w:val="28"/>
          <w:szCs w:val="28"/>
        </w:rPr>
      </w:pPr>
      <w:r>
        <w:rPr>
          <w:rFonts w:ascii="Times New Roman" w:hAnsi="Times New Roman" w:cs="Times New Roman"/>
          <w:b/>
          <w:i/>
          <w:sz w:val="28"/>
          <w:szCs w:val="28"/>
        </w:rPr>
        <w:t>3.  Профилактические мероприятия</w:t>
      </w:r>
    </w:p>
    <w:p>
      <w:pPr>
        <w:spacing w:after="0" w:line="240" w:lineRule="auto"/>
        <w:ind w:firstLine="709"/>
        <w:jc w:val="both"/>
        <w:outlineLvl w:val="0"/>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руководитель заказчика;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должностные лица контрактной службы или контрактный управляющий;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служащие (работники), заинтересованные в осуществлении закупки (например, служащие (работники), участвующие описании объекта закупки);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иные лица, участвующие в осуществлении закупок.</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понятия "конфликт интересов" и "личная заинтересованность";</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обязанность принимать меры по предотвращению и урегулированию конфликта интересов;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ответственность за неисполнение указанной обязанности;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иная признанная целесообразной к сообщению информация.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r>
        <w:fldChar w:fldCharType="begin"/>
      </w:r>
      <w:r>
        <w:instrText xml:space="preserve"> HYPERLINK "https://rosmintrud.ru/ministry/programms/anticorruption/9/13" </w:instrText>
      </w:r>
      <w:r>
        <w:fldChar w:fldCharType="separate"/>
      </w:r>
      <w:r>
        <w:rPr>
          <w:rStyle w:val="5"/>
          <w:rFonts w:ascii="Times New Roman" w:hAnsi="Times New Roman" w:cs="Times New Roman"/>
          <w:sz w:val="28"/>
          <w:szCs w:val="28"/>
        </w:rPr>
        <w:t>https://rosmintrud.ru/ministry/programms/anticorruption/9/13</w:t>
      </w:r>
      <w:r>
        <w:rPr>
          <w:rStyle w:val="5"/>
          <w:rFonts w:ascii="Times New Roman" w:hAnsi="Times New Roman" w:cs="Times New Roman"/>
          <w:sz w:val="28"/>
          <w:szCs w:val="28"/>
        </w:rPr>
        <w:fldChar w:fldCharType="end"/>
      </w:r>
      <w:r>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outlineLvl w:val="0"/>
        <w:rPr>
          <w:rFonts w:ascii="Times New Roman" w:hAnsi="Times New Roman" w:cs="Times New Roman"/>
          <w:sz w:val="28"/>
          <w:szCs w:val="28"/>
        </w:rPr>
      </w:pPr>
    </w:p>
    <w:p>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pPr>
        <w:spacing w:after="0" w:line="240" w:lineRule="auto"/>
        <w:ind w:firstLine="709"/>
        <w:jc w:val="center"/>
        <w:outlineLvl w:val="0"/>
        <w:rPr>
          <w:rFonts w:ascii="Times New Roman" w:hAnsi="Times New Roman" w:cs="Times New Roman"/>
          <w:b/>
          <w:i/>
          <w:sz w:val="28"/>
          <w:szCs w:val="28"/>
        </w:rPr>
      </w:pPr>
      <w:r>
        <w:rPr>
          <w:rFonts w:ascii="Times New Roman" w:hAnsi="Times New Roman" w:cs="Times New Roman"/>
          <w:b/>
          <w:i/>
          <w:sz w:val="28"/>
          <w:szCs w:val="28"/>
        </w:rPr>
        <w:t>4. Аналитические мероприятия</w:t>
      </w:r>
    </w:p>
    <w:p>
      <w:pPr>
        <w:spacing w:after="0" w:line="240" w:lineRule="auto"/>
        <w:ind w:firstLine="709"/>
        <w:jc w:val="both"/>
        <w:outlineLvl w:val="0"/>
        <w:rPr>
          <w:rFonts w:ascii="Times New Roman" w:hAnsi="Times New Roman" w:cs="Times New Roman"/>
          <w:sz w:val="28"/>
          <w:szCs w:val="28"/>
        </w:rPr>
      </w:pP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этой связи для целей организации аналитической работы необходимо определить критерии выбора закупок, в отношении которых подразделение по профилактике коррупционных правонарушений уделяет повышенное внимание.</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Указанные критерии могут основываться на следующих аспектах:</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частота заключаемых контрактов с одним и тем же поставщиком</w:t>
      </w:r>
      <w:r>
        <w:t xml:space="preserve"> </w:t>
      </w:r>
      <w:r>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t xml:space="preserve"> </w:t>
      </w:r>
      <w:r>
        <w:rPr>
          <w:rFonts w:ascii="Times New Roman" w:hAnsi="Times New Roman" w:cs="Times New Roman"/>
          <w:sz w:val="28"/>
          <w:szCs w:val="28"/>
        </w:rPr>
        <w:t>(подрядчика, исполнителя);</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иные применимые аспекты.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Анализ соблюдения положений законодательства Российской Федерации о противодействии коррупции, может основываться на следующем: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пункта 4.1 настоящих Методических рекомендаций;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основания для проведения анализа.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закона от 2 мая 2006 г. № 59-ФЗ "О порядке рассмотрения обращений граждан Российской Федерации".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Pr>
          <w:rStyle w:val="4"/>
          <w:rFonts w:ascii="Times New Roman" w:hAnsi="Times New Roman" w:cs="Times New Roman"/>
          <w:sz w:val="28"/>
          <w:szCs w:val="28"/>
        </w:rPr>
        <w:footnoteReference w:id="2"/>
      </w:r>
      <w:r>
        <w:rPr>
          <w:rFonts w:ascii="Times New Roman" w:hAnsi="Times New Roman" w:cs="Times New Roman"/>
          <w:sz w:val="28"/>
          <w:szCs w:val="28"/>
        </w:rPr>
        <w:t xml:space="preserve">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 в закупке.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pPr>
        <w:autoSpaceDE w:val="0"/>
        <w:autoSpaceDN w:val="0"/>
        <w:adjustRightInd w:val="0"/>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Аналитические мероприятия в отношении служащих (работников), участвующих в закупке</w:t>
      </w:r>
    </w:p>
    <w:p>
      <w:pPr>
        <w:autoSpaceDE w:val="0"/>
        <w:autoSpaceDN w:val="0"/>
        <w:adjustRightInd w:val="0"/>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 которая может содержать признаки наличия у служащего (работника) личной заинтересованности при осуществлении закупок.</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трудовая книжка;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личная карточка работника;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сведения о доходах, расходах, об имуществе и обязательствах имущественного характера;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иная информация, в том числе содержащаяся в личном деле служащего (работника).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информация, содержащаяся в следующих документах: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журнал посещений органа (организации);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реестр ранее заключенных контрактов;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реестр контрагентов.</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pPr>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Аналитические мероприятия в отношении участников закупок</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w:t>
      </w:r>
      <w:r>
        <w:fldChar w:fldCharType="begin"/>
      </w:r>
      <w:r>
        <w:instrText xml:space="preserve"> HYPERLINK "http://zakupki.gov.ru/" </w:instrText>
      </w:r>
      <w:r>
        <w:fldChar w:fldCharType="separate"/>
      </w:r>
      <w:r>
        <w:rPr>
          <w:rStyle w:val="5"/>
          <w:rFonts w:ascii="Times New Roman" w:hAnsi="Times New Roman" w:cs="Times New Roman"/>
          <w:sz w:val="28"/>
          <w:szCs w:val="28"/>
        </w:rPr>
        <w:t>http://zakupki.gov.ru/</w:t>
      </w:r>
      <w:r>
        <w:rPr>
          <w:rStyle w:val="5"/>
          <w:rFonts w:ascii="Times New Roman" w:hAnsi="Times New Roman" w:cs="Times New Roman"/>
          <w:sz w:val="28"/>
          <w:szCs w:val="28"/>
        </w:rPr>
        <w:fldChar w:fldCharType="end"/>
      </w:r>
      <w:r>
        <w:rPr>
          <w:rFonts w:ascii="Times New Roman" w:hAnsi="Times New Roman" w:cs="Times New Roman"/>
          <w:sz w:val="28"/>
          <w:szCs w:val="28"/>
        </w:rPr>
        <w:t>.</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получение конкурсной документации;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участника закупки о даче разъяснений положений документации;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даче разъяснений результатов определения поставщика (подрядчика, исполнителя);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запросы.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Анализу и обобщению для формирования профиля подлежит следующая информация (если применимо):</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копии учредительных документов участника закупки (для юридического лица);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иные представленные участником закупки документы.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4.12. В случае,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пунктом 9 части 1 статьи 31 Федерального закона №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Pr>
          <w:rFonts w:ascii="Times New Roman" w:hAnsi="Times New Roman" w:cs="Times New Roman"/>
          <w:sz w:val="28"/>
          <w:szCs w:val="28"/>
        </w:rPr>
        <w:br w:type="textWrapping"/>
      </w:r>
      <w:r>
        <w:rPr>
          <w:rFonts w:ascii="Times New Roman" w:hAnsi="Times New Roman" w:cs="Times New Roman"/>
          <w:sz w:val="28"/>
          <w:szCs w:val="28"/>
        </w:rPr>
        <w:t xml:space="preserve">отлично от аналогичного понятия, предусмотренного Федеральным </w:t>
      </w:r>
      <w:r>
        <w:rPr>
          <w:rFonts w:ascii="Times New Roman" w:hAnsi="Times New Roman" w:cs="Times New Roman"/>
          <w:sz w:val="28"/>
          <w:szCs w:val="28"/>
        </w:rPr>
        <w:br w:type="textWrapping"/>
      </w:r>
      <w:r>
        <w:rPr>
          <w:rFonts w:ascii="Times New Roman" w:hAnsi="Times New Roman" w:cs="Times New Roman"/>
          <w:sz w:val="28"/>
          <w:szCs w:val="28"/>
        </w:rPr>
        <w:t>законом № 273-ФЗ.</w:t>
      </w:r>
      <w:r>
        <w:rPr>
          <w:rStyle w:val="4"/>
          <w:rFonts w:ascii="Times New Roman" w:hAnsi="Times New Roman" w:cs="Times New Roman"/>
          <w:sz w:val="28"/>
          <w:szCs w:val="28"/>
        </w:rPr>
        <w:footnoteReference w:id="3"/>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Pr>
          <w:rFonts w:ascii="Times New Roman" w:hAnsi="Times New Roman" w:cs="Times New Roman"/>
          <w:sz w:val="28"/>
          <w:szCs w:val="28"/>
        </w:rPr>
        <w:br w:type="textWrapping"/>
      </w:r>
      <w:r>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 в рамках Федерального </w:t>
      </w:r>
      <w:r>
        <w:rPr>
          <w:rFonts w:ascii="Times New Roman" w:hAnsi="Times New Roman" w:cs="Times New Roman"/>
          <w:sz w:val="28"/>
          <w:szCs w:val="28"/>
        </w:rPr>
        <w:br w:type="textWrapping"/>
      </w:r>
      <w:r>
        <w:rPr>
          <w:rFonts w:ascii="Times New Roman" w:hAnsi="Times New Roman" w:cs="Times New Roman"/>
          <w:sz w:val="28"/>
          <w:szCs w:val="28"/>
        </w:rPr>
        <w:t>закона № 223-ФЗ.</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r>
        <w:fldChar w:fldCharType="begin"/>
      </w:r>
      <w:r>
        <w:instrText xml:space="preserve"> HYPERLINK "https://pb.nalog.ru/" </w:instrText>
      </w:r>
      <w:r>
        <w:fldChar w:fldCharType="separate"/>
      </w:r>
      <w:r>
        <w:rPr>
          <w:rStyle w:val="5"/>
          <w:rFonts w:ascii="Times New Roman" w:hAnsi="Times New Roman" w:cs="Times New Roman"/>
          <w:color w:val="0070C0"/>
          <w:sz w:val="28"/>
          <w:szCs w:val="28"/>
        </w:rPr>
        <w:t>https://pb.nalog.ru/</w:t>
      </w:r>
      <w:r>
        <w:rPr>
          <w:rStyle w:val="5"/>
          <w:rFonts w:ascii="Times New Roman" w:hAnsi="Times New Roman" w:cs="Times New Roman"/>
          <w:color w:val="0070C0"/>
          <w:sz w:val="28"/>
          <w:szCs w:val="28"/>
        </w:rPr>
        <w:fldChar w:fldCharType="end"/>
      </w:r>
      <w:r>
        <w:rPr>
          <w:rFonts w:ascii="Times New Roman" w:hAnsi="Times New Roman" w:cs="Times New Roman"/>
          <w:sz w:val="28"/>
          <w:szCs w:val="28"/>
        </w:rPr>
        <w:t>, а также посредством использования различных агрегаторов информации.</w:t>
      </w:r>
    </w:p>
    <w:p>
      <w:pPr>
        <w:autoSpaceDE w:val="0"/>
        <w:autoSpaceDN w:val="0"/>
        <w:adjustRightInd w:val="0"/>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pPr>
        <w:autoSpaceDE w:val="0"/>
        <w:autoSpaceDN w:val="0"/>
        <w:adjustRightInd w:val="0"/>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4.15. По результатам составления с учетом положений пункта 4.2 настоящих Методических рекомендаций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r>
        <w:fldChar w:fldCharType="begin"/>
      </w:r>
      <w:r>
        <w:instrText xml:space="preserve"> HYPERLINK "http://zakupki.gov.ru/" </w:instrText>
      </w:r>
      <w:r>
        <w:fldChar w:fldCharType="separate"/>
      </w:r>
      <w:r>
        <w:rPr>
          <w:rStyle w:val="5"/>
          <w:rFonts w:ascii="Times New Roman" w:hAnsi="Times New Roman" w:cs="Times New Roman"/>
          <w:sz w:val="28"/>
          <w:szCs w:val="28"/>
        </w:rPr>
        <w:t>http://zakupki.gov.ru/</w:t>
      </w:r>
      <w:r>
        <w:rPr>
          <w:rStyle w:val="5"/>
          <w:rFonts w:ascii="Times New Roman" w:hAnsi="Times New Roman" w:cs="Times New Roman"/>
          <w:sz w:val="28"/>
          <w:szCs w:val="28"/>
        </w:rPr>
        <w:fldChar w:fldCharType="end"/>
      </w:r>
      <w:r>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Pr>
          <w:rStyle w:val="4"/>
          <w:rFonts w:ascii="Times New Roman" w:hAnsi="Times New Roman" w:cs="Times New Roman"/>
          <w:sz w:val="28"/>
          <w:szCs w:val="28"/>
        </w:rPr>
        <w:footnoteReference w:id="4"/>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4.18.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Pr>
          <w:rStyle w:val="4"/>
          <w:rFonts w:ascii="Times New Roman" w:hAnsi="Times New Roman" w:cs="Times New Roman"/>
          <w:sz w:val="28"/>
          <w:szCs w:val="28"/>
        </w:rPr>
        <w:footnoteReference w:id="5"/>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Федеральным законом № 44-ФЗ установлена обязанность поставщика (подрядчика, исполнителя) предоставлять информацию о всех 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Pr>
          <w:rStyle w:val="4"/>
          <w:rFonts w:ascii="Times New Roman" w:hAnsi="Times New Roman" w:cs="Times New Roman"/>
          <w:sz w:val="28"/>
          <w:szCs w:val="28"/>
        </w:rPr>
        <w:footnoteReference w:id="6"/>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соответствии с частью 2 статьи 101 Федерального </w:t>
      </w:r>
      <w:r>
        <w:rPr>
          <w:rFonts w:ascii="Times New Roman" w:hAnsi="Times New Roman" w:cs="Times New Roman"/>
          <w:sz w:val="28"/>
          <w:szCs w:val="28"/>
        </w:rPr>
        <w:br w:type="textWrapping"/>
      </w:r>
      <w:r>
        <w:rPr>
          <w:rFonts w:ascii="Times New Roman" w:hAnsi="Times New Roman" w:cs="Times New Roman"/>
          <w:sz w:val="28"/>
          <w:szCs w:val="28"/>
        </w:rP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Аспекты, связанные с получением информации о субподрядчиках (соисполнителя) в рамках Федерального закона № 223-ФЗ, регулируются положением о закупке.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необходимо учитывать, что в соответствии с пунктом 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Pr>
          <w:rStyle w:val="4"/>
          <w:rFonts w:ascii="Times New Roman" w:hAnsi="Times New Roman" w:cs="Times New Roman"/>
          <w:sz w:val="28"/>
          <w:szCs w:val="28"/>
        </w:rPr>
        <w:footnoteReference w:id="7"/>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4.23. Помимо указанного анализа также может быть проведена проверка для целей установления фактов нарушений положений Федерального закона №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 </w:t>
      </w:r>
    </w:p>
    <w:p>
      <w:pPr>
        <w:autoSpaceDE w:val="0"/>
        <w:autoSpaceDN w:val="0"/>
        <w:adjustRightInd w:val="0"/>
        <w:spacing w:after="0" w:line="240" w:lineRule="auto"/>
        <w:ind w:firstLine="709"/>
        <w:jc w:val="both"/>
        <w:rPr>
          <w:rFonts w:ascii="Times New Roman" w:hAnsi="Times New Roman" w:cs="Times New Roman"/>
          <w:sz w:val="28"/>
          <w:szCs w:val="28"/>
        </w:rPr>
      </w:pPr>
    </w:p>
    <w:p>
      <w:pPr>
        <w:spacing w:after="0" w:line="240" w:lineRule="auto"/>
        <w:ind w:firstLine="709"/>
        <w:jc w:val="center"/>
        <w:outlineLvl w:val="0"/>
        <w:rPr>
          <w:rFonts w:ascii="Times New Roman" w:hAnsi="Times New Roman" w:cs="Times New Roman"/>
          <w:b/>
          <w:i/>
          <w:sz w:val="28"/>
          <w:szCs w:val="28"/>
        </w:rPr>
      </w:pPr>
      <w:r>
        <w:rPr>
          <w:rFonts w:ascii="Times New Roman" w:hAnsi="Times New Roman" w:cs="Times New Roman"/>
          <w:b/>
          <w:i/>
          <w:sz w:val="28"/>
          <w:szCs w:val="28"/>
        </w:rPr>
        <w:t>5. Особенности построения работы в отдельных категориях организаций</w:t>
      </w:r>
    </w:p>
    <w:p>
      <w:pPr>
        <w:spacing w:after="0" w:line="240" w:lineRule="auto"/>
        <w:ind w:firstLine="709"/>
        <w:jc w:val="both"/>
        <w:outlineLvl w:val="0"/>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w:t>
      </w:r>
      <w:r>
        <w:rPr>
          <w:rStyle w:val="4"/>
          <w:rFonts w:ascii="Times New Roman" w:hAnsi="Times New Roman" w:cs="Times New Roman"/>
          <w:sz w:val="28"/>
          <w:szCs w:val="28"/>
        </w:rPr>
        <w:footnoteReference w:id="8"/>
      </w:r>
      <w:r>
        <w:rPr>
          <w:rFonts w:ascii="Times New Roman" w:hAnsi="Times New Roman" w:cs="Times New Roman"/>
          <w:sz w:val="28"/>
          <w:szCs w:val="28"/>
        </w:rPr>
        <w:t>, либо в качестве отдельного локального нормативного акта.</w:t>
      </w:r>
      <w:r>
        <w:rPr>
          <w:rStyle w:val="4"/>
          <w:rFonts w:ascii="Times New Roman" w:hAnsi="Times New Roman" w:cs="Times New Roman"/>
          <w:sz w:val="28"/>
          <w:szCs w:val="28"/>
        </w:rPr>
        <w:footnoteReference w:id="9"/>
      </w:r>
      <w:r>
        <w:rPr>
          <w:rFonts w:ascii="Times New Roman" w:hAnsi="Times New Roman" w:cs="Times New Roman"/>
          <w:sz w:val="28"/>
          <w:szCs w:val="28"/>
        </w:rPr>
        <w:t xml:space="preserve">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В указанном положении прописываются аспекты, связанные со следующим:</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В этой связи в рассматриваемом положении могут быть предусмотрены следующие структурные единицы (разделы):</w:t>
      </w:r>
    </w:p>
    <w:p>
      <w:pPr>
        <w:pStyle w:val="14"/>
        <w:numPr>
          <w:ilvl w:val="0"/>
          <w:numId w:val="1"/>
        </w:numPr>
        <w:ind w:left="0" w:firstLine="709"/>
        <w:jc w:val="both"/>
        <w:rPr>
          <w:sz w:val="28"/>
          <w:szCs w:val="28"/>
        </w:rPr>
      </w:pPr>
      <w:r>
        <w:rPr>
          <w:sz w:val="28"/>
          <w:szCs w:val="28"/>
        </w:rPr>
        <w:t>цели и задачи принятия положения;</w:t>
      </w:r>
    </w:p>
    <w:p>
      <w:pPr>
        <w:pStyle w:val="14"/>
        <w:numPr>
          <w:ilvl w:val="0"/>
          <w:numId w:val="1"/>
        </w:numPr>
        <w:ind w:left="0" w:firstLine="709"/>
        <w:jc w:val="both"/>
        <w:rPr>
          <w:sz w:val="28"/>
          <w:szCs w:val="28"/>
        </w:rPr>
      </w:pPr>
      <w:r>
        <w:rPr>
          <w:sz w:val="28"/>
          <w:szCs w:val="28"/>
        </w:rPr>
        <w:t>круг лиц, попадающих под его действие;</w:t>
      </w:r>
    </w:p>
    <w:p>
      <w:pPr>
        <w:pStyle w:val="14"/>
        <w:numPr>
          <w:ilvl w:val="0"/>
          <w:numId w:val="1"/>
        </w:numPr>
        <w:ind w:left="0" w:firstLine="709"/>
        <w:jc w:val="both"/>
        <w:rPr>
          <w:sz w:val="28"/>
          <w:szCs w:val="28"/>
        </w:rPr>
      </w:pPr>
      <w:r>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pPr>
        <w:pStyle w:val="14"/>
        <w:numPr>
          <w:ilvl w:val="0"/>
          <w:numId w:val="1"/>
        </w:numPr>
        <w:ind w:left="0" w:firstLine="709"/>
        <w:jc w:val="both"/>
        <w:rPr>
          <w:sz w:val="28"/>
          <w:szCs w:val="28"/>
        </w:rPr>
      </w:pPr>
      <w:r>
        <w:rPr>
          <w:sz w:val="28"/>
          <w:szCs w:val="28"/>
        </w:rPr>
        <w:t>принципы раскрытия и урегулирования конфликта интересов в организации;</w:t>
      </w:r>
    </w:p>
    <w:p>
      <w:pPr>
        <w:pStyle w:val="14"/>
        <w:numPr>
          <w:ilvl w:val="0"/>
          <w:numId w:val="1"/>
        </w:numPr>
        <w:ind w:left="0" w:firstLine="709"/>
        <w:jc w:val="both"/>
        <w:rPr>
          <w:sz w:val="28"/>
          <w:szCs w:val="28"/>
        </w:rPr>
      </w:pPr>
      <w:r>
        <w:rPr>
          <w:sz w:val="28"/>
          <w:szCs w:val="28"/>
        </w:rPr>
        <w:t>действия работников в связи с предупреждением, раскрытием и урегулированием конфликта интересов и порядок их осуществления;</w:t>
      </w:r>
    </w:p>
    <w:p>
      <w:pPr>
        <w:pStyle w:val="14"/>
        <w:numPr>
          <w:ilvl w:val="0"/>
          <w:numId w:val="1"/>
        </w:numPr>
        <w:ind w:left="0" w:firstLine="709"/>
        <w:jc w:val="both"/>
        <w:rPr>
          <w:sz w:val="28"/>
          <w:szCs w:val="28"/>
        </w:rPr>
      </w:pPr>
      <w:r>
        <w:rPr>
          <w:sz w:val="28"/>
          <w:szCs w:val="28"/>
        </w:rPr>
        <w:t>порядок раскрытия конфликта интересов (декларирования);</w:t>
      </w:r>
    </w:p>
    <w:p>
      <w:pPr>
        <w:pStyle w:val="14"/>
        <w:numPr>
          <w:ilvl w:val="0"/>
          <w:numId w:val="1"/>
        </w:numPr>
        <w:ind w:left="0" w:firstLine="709"/>
        <w:jc w:val="both"/>
        <w:rPr>
          <w:sz w:val="28"/>
          <w:szCs w:val="28"/>
        </w:rPr>
      </w:pPr>
      <w:r>
        <w:rPr>
          <w:sz w:val="28"/>
          <w:szCs w:val="28"/>
        </w:rPr>
        <w:t>порядок рассмотрения деклараций и урегулирования конфликта интересов;</w:t>
      </w:r>
    </w:p>
    <w:p>
      <w:pPr>
        <w:pStyle w:val="14"/>
        <w:numPr>
          <w:ilvl w:val="0"/>
          <w:numId w:val="1"/>
        </w:numPr>
        <w:ind w:left="0" w:firstLine="709"/>
        <w:jc w:val="both"/>
        <w:rPr>
          <w:sz w:val="28"/>
          <w:szCs w:val="28"/>
        </w:rPr>
      </w:pPr>
      <w:r>
        <w:rPr>
          <w:sz w:val="28"/>
          <w:szCs w:val="28"/>
        </w:rPr>
        <w:t>меры ответственности.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В основу рассматриваемой работы в отдельных категориях организаций могут быть положены следующие принципы:</w:t>
      </w:r>
    </w:p>
    <w:p>
      <w:pPr>
        <w:numPr>
          <w:ilvl w:val="0"/>
          <w:numId w:val="2"/>
        </w:numPr>
        <w:tabs>
          <w:tab w:val="left" w:pos="709"/>
          <w:tab w:val="clear" w:pos="14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раскрытие сведений о реальном или потенциальном конфликте интересов, личной заинтересованности;</w:t>
      </w:r>
    </w:p>
    <w:p>
      <w:pPr>
        <w:numPr>
          <w:ilvl w:val="0"/>
          <w:numId w:val="2"/>
        </w:numPr>
        <w:tabs>
          <w:tab w:val="left" w:pos="709"/>
          <w:tab w:val="clear" w:pos="14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индивидуальное рассмотрение и оценка репутационных рисков для организации при выявлении личной заинтересованности работника;</w:t>
      </w:r>
    </w:p>
    <w:p>
      <w:pPr>
        <w:numPr>
          <w:ilvl w:val="0"/>
          <w:numId w:val="2"/>
        </w:numPr>
        <w:tabs>
          <w:tab w:val="left" w:pos="709"/>
          <w:tab w:val="clear" w:pos="14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конфиденциальность процесса раскрытия сведений о личной заинтересованности и об урегулировании конфликта интересов;</w:t>
      </w:r>
    </w:p>
    <w:p>
      <w:pPr>
        <w:numPr>
          <w:ilvl w:val="0"/>
          <w:numId w:val="2"/>
        </w:numPr>
        <w:tabs>
          <w:tab w:val="left" w:pos="709"/>
          <w:tab w:val="clear" w:pos="14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баланса интересов организации и работника;</w:t>
      </w:r>
    </w:p>
    <w:p>
      <w:pPr>
        <w:numPr>
          <w:ilvl w:val="0"/>
          <w:numId w:val="2"/>
        </w:numPr>
        <w:tabs>
          <w:tab w:val="left" w:pos="709"/>
          <w:tab w:val="clear" w:pos="144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защита работника от преследования в связи с сообщением о личной заинтересованности, которая была своевременно раскрыта работником.</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5.6. 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5.7. При выстраивании указанной работы, целесообразно руководствоваться применимыми положениями методических материалов "Меры по предупреждению коррупции в организациях".</w:t>
      </w:r>
      <w:r>
        <w:rPr>
          <w:rStyle w:val="4"/>
          <w:rFonts w:ascii="Times New Roman" w:hAnsi="Times New Roman" w:cs="Times New Roman"/>
          <w:sz w:val="28"/>
          <w:szCs w:val="28"/>
        </w:rPr>
        <w:footnoteReference w:id="10"/>
      </w:r>
    </w:p>
    <w:p>
      <w:pPr>
        <w:autoSpaceDE w:val="0"/>
        <w:autoSpaceDN w:val="0"/>
        <w:adjustRightInd w:val="0"/>
        <w:spacing w:after="0" w:line="240" w:lineRule="auto"/>
        <w:ind w:firstLine="709"/>
        <w:jc w:val="both"/>
        <w:rPr>
          <w:rFonts w:ascii="Times New Roman" w:hAnsi="Times New Roman" w:cs="Times New Roman"/>
          <w:b/>
          <w:sz w:val="28"/>
          <w:szCs w:val="28"/>
        </w:rPr>
        <w:sectPr>
          <w:headerReference r:id="rId5" w:type="default"/>
          <w:pgSz w:w="11906" w:h="16838"/>
          <w:pgMar w:top="1134" w:right="850" w:bottom="1134" w:left="1701" w:header="708" w:footer="708" w:gutter="0"/>
          <w:cols w:space="708" w:num="1"/>
          <w:titlePg/>
          <w:docGrid w:linePitch="360" w:charSpace="0"/>
        </w:sectPr>
      </w:pPr>
      <w:r>
        <w:rPr>
          <w:rFonts w:ascii="Times New Roman" w:hAnsi="Times New Roman" w:cs="Times New Roman"/>
          <w:b/>
          <w:sz w:val="28"/>
          <w:szCs w:val="28"/>
        </w:rPr>
        <w:br w:type="page"/>
      </w:r>
    </w:p>
    <w:p>
      <w:pPr>
        <w:pStyle w:val="14"/>
        <w:tabs>
          <w:tab w:val="left" w:pos="426"/>
        </w:tabs>
        <w:spacing w:before="120" w:after="240"/>
        <w:ind w:left="0" w:firstLine="709"/>
        <w:contextualSpacing w:val="0"/>
        <w:jc w:val="right"/>
        <w:outlineLvl w:val="0"/>
        <w:rPr>
          <w:b/>
          <w:sz w:val="28"/>
          <w:szCs w:val="28"/>
        </w:rPr>
      </w:pPr>
      <w:r>
        <w:rPr>
          <w:b/>
          <w:sz w:val="28"/>
          <w:szCs w:val="28"/>
        </w:rPr>
        <w:t>Приложение</w:t>
      </w:r>
    </w:p>
    <w:p>
      <w:pPr>
        <w:pStyle w:val="15"/>
        <w:ind w:left="4500"/>
        <w:jc w:val="both"/>
        <w:rPr>
          <w:rFonts w:ascii="Times New Roman" w:hAnsi="Times New Roman" w:cs="Times New Roman"/>
          <w:sz w:val="28"/>
          <w:szCs w:val="28"/>
        </w:rPr>
      </w:pPr>
      <w:r>
        <w:rPr>
          <w:rFonts w:ascii="Times New Roman" w:hAnsi="Times New Roman" w:cs="Times New Roman"/>
          <w:sz w:val="28"/>
          <w:szCs w:val="28"/>
        </w:rPr>
        <w:t>В ________________________________</w:t>
      </w:r>
    </w:p>
    <w:p>
      <w:pPr>
        <w:pStyle w:val="15"/>
        <w:ind w:left="4820"/>
        <w:jc w:val="both"/>
        <w:rPr>
          <w:rFonts w:ascii="Times New Roman" w:hAnsi="Times New Roman" w:cs="Times New Roman"/>
          <w:i/>
          <w:sz w:val="22"/>
          <w:szCs w:val="22"/>
        </w:rPr>
      </w:pPr>
      <w:r>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pPr>
        <w:pStyle w:val="15"/>
        <w:ind w:left="4500"/>
        <w:jc w:val="both"/>
        <w:rPr>
          <w:rFonts w:ascii="Times New Roman" w:hAnsi="Times New Roman" w:cs="Times New Roman"/>
          <w:sz w:val="28"/>
          <w:szCs w:val="28"/>
        </w:rPr>
      </w:pPr>
    </w:p>
    <w:p>
      <w:pPr>
        <w:pStyle w:val="15"/>
        <w:ind w:left="4500"/>
        <w:jc w:val="both"/>
        <w:rPr>
          <w:rFonts w:ascii="Times New Roman" w:hAnsi="Times New Roman" w:cs="Times New Roman"/>
          <w:sz w:val="28"/>
          <w:szCs w:val="28"/>
        </w:rPr>
      </w:pPr>
      <w:r>
        <w:rPr>
          <w:rFonts w:ascii="Times New Roman" w:hAnsi="Times New Roman" w:cs="Times New Roman"/>
          <w:sz w:val="28"/>
          <w:szCs w:val="28"/>
        </w:rPr>
        <w:t>от ________________________________</w:t>
      </w:r>
    </w:p>
    <w:p>
      <w:pPr>
        <w:pStyle w:val="15"/>
        <w:ind w:left="4500"/>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pPr>
        <w:pStyle w:val="15"/>
        <w:ind w:left="4395"/>
        <w:jc w:val="center"/>
        <w:rPr>
          <w:rFonts w:ascii="Times New Roman" w:hAnsi="Times New Roman" w:cs="Times New Roman"/>
          <w:i/>
          <w:sz w:val="22"/>
          <w:szCs w:val="22"/>
        </w:rPr>
      </w:pPr>
      <w:r>
        <w:rPr>
          <w:rFonts w:ascii="Times New Roman" w:hAnsi="Times New Roman" w:cs="Times New Roman"/>
          <w:i/>
          <w:sz w:val="22"/>
          <w:szCs w:val="22"/>
        </w:rPr>
        <w:t>(Ф.И.О., замещаемая должность)</w:t>
      </w:r>
    </w:p>
    <w:p>
      <w:pPr>
        <w:pStyle w:val="14"/>
        <w:tabs>
          <w:tab w:val="left" w:pos="426"/>
        </w:tabs>
        <w:spacing w:before="120" w:after="240"/>
        <w:ind w:left="0" w:firstLine="709"/>
        <w:contextualSpacing w:val="0"/>
        <w:jc w:val="right"/>
        <w:outlineLvl w:val="0"/>
        <w:rPr>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Декларация о возможной личной заинтересованности</w:t>
      </w:r>
      <w:r>
        <w:rPr>
          <w:rFonts w:ascii="Times New Roman" w:hAnsi="Times New Roman" w:cs="Times New Roman"/>
          <w:b/>
          <w:sz w:val="28"/>
          <w:szCs w:val="28"/>
          <w:vertAlign w:val="superscript"/>
        </w:rPr>
        <w:t>1</w:t>
      </w:r>
      <w:r>
        <w:rPr>
          <w:rStyle w:val="4"/>
          <w:rFonts w:ascii="Times New Roman" w:hAnsi="Times New Roman" w:cs="Times New Roman"/>
          <w:b/>
          <w:color w:val="FFFFFF" w:themeColor="background1"/>
          <w:sz w:val="2"/>
          <w:szCs w:val="28"/>
          <w14:textFill>
            <w14:solidFill>
              <w14:schemeClr w14:val="bg1"/>
            </w14:solidFill>
          </w14:textFill>
        </w:rPr>
        <w:footnoteReference w:id="11"/>
      </w:r>
    </w:p>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Перед заполнением настоящей декларации мне разъяснено следующее:</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содержание понятий "конфликт интересов" и "личная заинтересованность";</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ответственность за неисполнение указанной обязанности.</w:t>
      </w:r>
    </w:p>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p>
    <w:tbl>
      <w:tblPr>
        <w:tblStyle w:val="3"/>
        <w:tblW w:w="9526" w:type="dxa"/>
        <w:tblInd w:w="0" w:type="dxa"/>
        <w:tblLayout w:type="fixed"/>
        <w:tblCellMar>
          <w:top w:w="0" w:type="dxa"/>
          <w:left w:w="28" w:type="dxa"/>
          <w:bottom w:w="0" w:type="dxa"/>
          <w:right w:w="28" w:type="dxa"/>
        </w:tblCellMar>
      </w:tblPr>
      <w:tblGrid>
        <w:gridCol w:w="198"/>
        <w:gridCol w:w="454"/>
        <w:gridCol w:w="255"/>
        <w:gridCol w:w="1814"/>
        <w:gridCol w:w="397"/>
        <w:gridCol w:w="397"/>
        <w:gridCol w:w="340"/>
        <w:gridCol w:w="5671"/>
      </w:tblGrid>
      <w:tr>
        <w:tblPrEx>
          <w:tblCellMar>
            <w:top w:w="0" w:type="dxa"/>
            <w:left w:w="28" w:type="dxa"/>
            <w:bottom w:w="0" w:type="dxa"/>
            <w:right w:w="28" w:type="dxa"/>
          </w:tblCellMar>
        </w:tblPrEx>
        <w:tc>
          <w:tcPr>
            <w:tcW w:w="198" w:type="dxa"/>
            <w:tcBorders>
              <w:top w:val="nil"/>
              <w:left w:val="nil"/>
              <w:bottom w:val="nil"/>
              <w:right w:val="nil"/>
            </w:tcBorders>
            <w:vAlign w:val="bottom"/>
          </w:tcPr>
          <w:p>
            <w:pPr>
              <w:spacing w:after="0"/>
              <w:jc w:val="right"/>
              <w:rPr>
                <w:rFonts w:ascii="Times New Roman" w:hAnsi="Times New Roman" w:cs="Times New Roman"/>
                <w:sz w:val="28"/>
                <w:szCs w:val="28"/>
              </w:rPr>
            </w:pPr>
            <w:r>
              <w:rPr>
                <w:rFonts w:ascii="Times New Roman" w:hAnsi="Times New Roman" w:cs="Times New Roman"/>
                <w:sz w:val="28"/>
                <w:szCs w:val="28"/>
              </w:rPr>
              <w:t>"</w:t>
            </w:r>
          </w:p>
        </w:tc>
        <w:tc>
          <w:tcPr>
            <w:tcW w:w="454" w:type="dxa"/>
            <w:tcBorders>
              <w:top w:val="nil"/>
              <w:left w:val="nil"/>
              <w:bottom w:val="single" w:color="auto" w:sz="4" w:space="0"/>
              <w:right w:val="nil"/>
            </w:tcBorders>
            <w:vAlign w:val="bottom"/>
          </w:tcPr>
          <w:p>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pPr>
              <w:spacing w:after="0"/>
              <w:rPr>
                <w:rFonts w:ascii="Times New Roman" w:hAnsi="Times New Roman" w:cs="Times New Roman"/>
                <w:sz w:val="28"/>
                <w:szCs w:val="28"/>
              </w:rPr>
            </w:pPr>
            <w:r>
              <w:rPr>
                <w:rFonts w:ascii="Times New Roman" w:hAnsi="Times New Roman" w:cs="Times New Roman"/>
                <w:sz w:val="28"/>
                <w:szCs w:val="28"/>
              </w:rPr>
              <w:t>"</w:t>
            </w:r>
          </w:p>
        </w:tc>
        <w:tc>
          <w:tcPr>
            <w:tcW w:w="1814" w:type="dxa"/>
            <w:tcBorders>
              <w:top w:val="nil"/>
              <w:left w:val="nil"/>
              <w:bottom w:val="single" w:color="auto" w:sz="4" w:space="0"/>
              <w:right w:val="nil"/>
            </w:tcBorders>
            <w:vAlign w:val="bottom"/>
          </w:tcPr>
          <w:p>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pPr>
              <w:spacing w:after="0"/>
              <w:jc w:val="right"/>
              <w:rPr>
                <w:rFonts w:ascii="Times New Roman" w:hAnsi="Times New Roman" w:cs="Times New Roman"/>
                <w:sz w:val="28"/>
                <w:szCs w:val="28"/>
              </w:rPr>
            </w:pPr>
            <w:r>
              <w:rPr>
                <w:rFonts w:ascii="Times New Roman" w:hAnsi="Times New Roman" w:cs="Times New Roman"/>
                <w:sz w:val="28"/>
                <w:szCs w:val="28"/>
              </w:rPr>
              <w:t>20</w:t>
            </w:r>
          </w:p>
        </w:tc>
        <w:tc>
          <w:tcPr>
            <w:tcW w:w="397" w:type="dxa"/>
            <w:tcBorders>
              <w:top w:val="nil"/>
              <w:left w:val="nil"/>
              <w:bottom w:val="single" w:color="auto" w:sz="4" w:space="0"/>
              <w:right w:val="nil"/>
            </w:tcBorders>
            <w:vAlign w:val="bottom"/>
          </w:tcPr>
          <w:p>
            <w:pPr>
              <w:spacing w:after="0"/>
              <w:rPr>
                <w:rFonts w:ascii="Times New Roman" w:hAnsi="Times New Roman" w:cs="Times New Roman"/>
                <w:sz w:val="28"/>
                <w:szCs w:val="28"/>
              </w:rPr>
            </w:pPr>
          </w:p>
        </w:tc>
        <w:tc>
          <w:tcPr>
            <w:tcW w:w="340" w:type="dxa"/>
            <w:tcBorders>
              <w:top w:val="nil"/>
              <w:left w:val="nil"/>
              <w:bottom w:val="nil"/>
              <w:right w:val="nil"/>
            </w:tcBorders>
            <w:vAlign w:val="bottom"/>
          </w:tcPr>
          <w:p>
            <w:pPr>
              <w:spacing w:after="0"/>
              <w:ind w:left="57"/>
              <w:rPr>
                <w:rFonts w:ascii="Times New Roman" w:hAnsi="Times New Roman" w:cs="Times New Roman"/>
                <w:sz w:val="28"/>
                <w:szCs w:val="28"/>
              </w:rPr>
            </w:pPr>
            <w:r>
              <w:rPr>
                <w:rFonts w:ascii="Times New Roman" w:hAnsi="Times New Roman" w:cs="Times New Roman"/>
                <w:sz w:val="28"/>
                <w:szCs w:val="28"/>
              </w:rPr>
              <w:t>г.</w:t>
            </w:r>
          </w:p>
        </w:tc>
        <w:tc>
          <w:tcPr>
            <w:tcW w:w="5671" w:type="dxa"/>
            <w:tcBorders>
              <w:top w:val="nil"/>
              <w:left w:val="nil"/>
              <w:bottom w:val="single" w:color="auto" w:sz="4" w:space="0"/>
              <w:right w:val="nil"/>
            </w:tcBorders>
            <w:vAlign w:val="bottom"/>
          </w:tcPr>
          <w:p>
            <w:pPr>
              <w:spacing w:after="0"/>
              <w:jc w:val="center"/>
              <w:rPr>
                <w:rFonts w:ascii="Times New Roman" w:hAnsi="Times New Roman" w:cs="Times New Roman"/>
                <w:sz w:val="28"/>
                <w:szCs w:val="28"/>
              </w:rPr>
            </w:pPr>
          </w:p>
        </w:tc>
      </w:tr>
      <w:tr>
        <w:tblPrEx>
          <w:tblCellMar>
            <w:top w:w="0" w:type="dxa"/>
            <w:left w:w="28" w:type="dxa"/>
            <w:bottom w:w="0" w:type="dxa"/>
            <w:right w:w="28" w:type="dxa"/>
          </w:tblCellMar>
        </w:tblPrEx>
        <w:tc>
          <w:tcPr>
            <w:tcW w:w="198" w:type="dxa"/>
          </w:tcPr>
          <w:p>
            <w:pPr>
              <w:spacing w:after="0"/>
              <w:jc w:val="center"/>
              <w:rPr>
                <w:rFonts w:ascii="Times New Roman" w:hAnsi="Times New Roman" w:cs="Times New Roman"/>
              </w:rPr>
            </w:pPr>
          </w:p>
        </w:tc>
        <w:tc>
          <w:tcPr>
            <w:tcW w:w="454" w:type="dxa"/>
          </w:tcPr>
          <w:p>
            <w:pPr>
              <w:spacing w:after="0"/>
              <w:jc w:val="center"/>
              <w:rPr>
                <w:rFonts w:ascii="Times New Roman" w:hAnsi="Times New Roman" w:cs="Times New Roman"/>
              </w:rPr>
            </w:pPr>
          </w:p>
        </w:tc>
        <w:tc>
          <w:tcPr>
            <w:tcW w:w="255" w:type="dxa"/>
          </w:tcPr>
          <w:p>
            <w:pPr>
              <w:spacing w:after="0"/>
              <w:jc w:val="center"/>
              <w:rPr>
                <w:rFonts w:ascii="Times New Roman" w:hAnsi="Times New Roman" w:cs="Times New Roman"/>
              </w:rPr>
            </w:pPr>
          </w:p>
        </w:tc>
        <w:tc>
          <w:tcPr>
            <w:tcW w:w="1814" w:type="dxa"/>
          </w:tcPr>
          <w:p>
            <w:pPr>
              <w:spacing w:after="0"/>
              <w:jc w:val="center"/>
              <w:rPr>
                <w:rFonts w:ascii="Times New Roman" w:hAnsi="Times New Roman" w:cs="Times New Roman"/>
              </w:rPr>
            </w:pPr>
          </w:p>
        </w:tc>
        <w:tc>
          <w:tcPr>
            <w:tcW w:w="397" w:type="dxa"/>
          </w:tcPr>
          <w:p>
            <w:pPr>
              <w:spacing w:after="0"/>
              <w:jc w:val="center"/>
              <w:rPr>
                <w:rFonts w:ascii="Times New Roman" w:hAnsi="Times New Roman" w:cs="Times New Roman"/>
              </w:rPr>
            </w:pPr>
          </w:p>
        </w:tc>
        <w:tc>
          <w:tcPr>
            <w:tcW w:w="397" w:type="dxa"/>
          </w:tcPr>
          <w:p>
            <w:pPr>
              <w:spacing w:after="0"/>
              <w:jc w:val="center"/>
              <w:rPr>
                <w:rFonts w:ascii="Times New Roman" w:hAnsi="Times New Roman" w:cs="Times New Roman"/>
              </w:rPr>
            </w:pPr>
          </w:p>
        </w:tc>
        <w:tc>
          <w:tcPr>
            <w:tcW w:w="340" w:type="dxa"/>
          </w:tcPr>
          <w:p>
            <w:pPr>
              <w:spacing w:after="0"/>
              <w:ind w:left="57"/>
              <w:jc w:val="center"/>
              <w:rPr>
                <w:rFonts w:ascii="Times New Roman" w:hAnsi="Times New Roman" w:cs="Times New Roman"/>
              </w:rPr>
            </w:pPr>
          </w:p>
        </w:tc>
        <w:tc>
          <w:tcPr>
            <w:tcW w:w="5671" w:type="dxa"/>
          </w:tcPr>
          <w:p>
            <w:pPr>
              <w:spacing w:after="0"/>
              <w:jc w:val="center"/>
              <w:rPr>
                <w:rFonts w:ascii="Times New Roman" w:hAnsi="Times New Roman" w:cs="Times New Roman"/>
              </w:rPr>
            </w:pPr>
            <w:r>
              <w:rPr>
                <w:rFonts w:ascii="Times New Roman" w:hAnsi="Times New Roman" w:cs="Times New Roman"/>
              </w:rPr>
              <w:t>(подпись и Ф.И.О. лица, представляющего сведения)</w:t>
            </w:r>
          </w:p>
        </w:tc>
      </w:tr>
    </w:tbl>
    <w:p>
      <w:pPr>
        <w:spacing w:after="0"/>
        <w:rPr>
          <w:vanish/>
        </w:rPr>
      </w:pPr>
    </w:p>
    <w:p>
      <w:pPr>
        <w:spacing w:after="0"/>
        <w:jc w:val="both"/>
        <w:rPr>
          <w:rFonts w:ascii="Times New Roman" w:hAnsi="Times New Roman" w:cs="Times New Roman"/>
          <w:b/>
          <w:sz w:val="28"/>
          <w:szCs w:val="28"/>
        </w:rPr>
      </w:pPr>
    </w:p>
    <w:p>
      <w:pPr>
        <w:spacing w:after="0"/>
        <w:jc w:val="both"/>
        <w:rPr>
          <w:rFonts w:ascii="Times New Roman" w:hAnsi="Times New Roman" w:cs="Times New Roman"/>
          <w:b/>
          <w:sz w:val="28"/>
          <w:szCs w:val="28"/>
        </w:rPr>
      </w:pPr>
    </w:p>
    <w:p>
      <w:pPr>
        <w:spacing w:after="0"/>
        <w:jc w:val="both"/>
        <w:rPr>
          <w:rFonts w:ascii="Times New Roman" w:hAnsi="Times New Roman" w:cs="Times New Roman"/>
          <w:b/>
          <w:sz w:val="28"/>
          <w:szCs w:val="28"/>
        </w:rPr>
      </w:pPr>
    </w:p>
    <w:p>
      <w:pPr>
        <w:spacing w:after="0"/>
        <w:jc w:val="both"/>
        <w:rPr>
          <w:rFonts w:ascii="Times New Roman" w:hAnsi="Times New Roman" w:cs="Times New Roman"/>
          <w:b/>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4"/>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4" w:type="dxa"/>
            <w:vAlign w:val="center"/>
          </w:tcPr>
          <w:p>
            <w:pPr>
              <w:jc w:val="center"/>
              <w:rPr>
                <w:rFonts w:ascii="Times New Roman" w:hAnsi="Times New Roman" w:eastAsia="Calibri" w:cs="Times New Roman"/>
                <w:b/>
                <w:sz w:val="28"/>
                <w:szCs w:val="28"/>
                <w:lang w:eastAsia="ru-RU"/>
              </w:rPr>
            </w:pPr>
          </w:p>
        </w:tc>
        <w:tc>
          <w:tcPr>
            <w:tcW w:w="1205" w:type="dxa"/>
            <w:vAlign w:val="center"/>
          </w:tcPr>
          <w:p>
            <w:pPr>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Да</w:t>
            </w:r>
          </w:p>
        </w:tc>
        <w:tc>
          <w:tcPr>
            <w:tcW w:w="1205" w:type="dxa"/>
            <w:vAlign w:val="center"/>
          </w:tcPr>
          <w:p>
            <w:pPr>
              <w:jc w:val="center"/>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Владеете ли Вы или Ваши родственники прямо или как бенефициар</w:t>
            </w:r>
            <w:r>
              <w:rPr>
                <w:rFonts w:ascii="Times New Roman" w:hAnsi="Times New Roman" w:eastAsia="Calibri" w:cs="Times New Roman"/>
                <w:sz w:val="28"/>
                <w:szCs w:val="28"/>
                <w:vertAlign w:val="superscript"/>
                <w:lang w:eastAsia="ru-RU"/>
              </w:rPr>
              <w:t>2</w:t>
            </w:r>
            <w:r>
              <w:rPr>
                <w:rStyle w:val="4"/>
                <w:rFonts w:ascii="Times New Roman" w:hAnsi="Times New Roman" w:eastAsia="Calibri" w:cs="Times New Roman"/>
                <w:sz w:val="2"/>
                <w:szCs w:val="28"/>
                <w:lang w:eastAsia="ru-RU"/>
              </w:rPr>
              <w:footnoteReference w:id="12"/>
            </w:r>
            <w:r>
              <w:rPr>
                <w:rFonts w:ascii="Times New Roman" w:hAnsi="Times New Roman" w:eastAsia="Calibri" w:cs="Times New Roman"/>
                <w:sz w:val="28"/>
                <w:szCs w:val="28"/>
                <w:lang w:eastAsia="ru-RU"/>
              </w:rPr>
              <w:t xml:space="preserve"> акциями (долями, паями) или любыми другими финансовыми инструментами какой-либо организации</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Имеете ли Вы или Ваши родственники какие-либо имущественные обязательства перед какой-либо организацией</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Пользуетесь ли Вы или Ваши родственники имуществом, принадлежащим какой-либо организации</w:t>
            </w:r>
          </w:p>
        </w:tc>
        <w:tc>
          <w:tcPr>
            <w:tcW w:w="1205" w:type="dxa"/>
          </w:tcPr>
          <w:p>
            <w:pPr>
              <w:spacing w:after="0"/>
              <w:jc w:val="both"/>
              <w:rPr>
                <w:rFonts w:ascii="Times New Roman" w:hAnsi="Times New Roman" w:eastAsia="Calibri" w:cs="Times New Roman"/>
                <w:b/>
                <w:sz w:val="28"/>
                <w:szCs w:val="28"/>
                <w:lang w:eastAsia="ru-RU"/>
              </w:rPr>
            </w:pPr>
          </w:p>
        </w:tc>
        <w:tc>
          <w:tcPr>
            <w:tcW w:w="1205" w:type="dxa"/>
          </w:tcPr>
          <w:p>
            <w:pPr>
              <w:spacing w:after="0"/>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spacing w:after="0"/>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205" w:type="dxa"/>
          </w:tcPr>
          <w:p>
            <w:pPr>
              <w:jc w:val="both"/>
              <w:rPr>
                <w:rFonts w:ascii="Times New Roman" w:hAnsi="Times New Roman" w:eastAsia="Calibri" w:cs="Times New Roman"/>
                <w:b/>
                <w:sz w:val="28"/>
                <w:szCs w:val="28"/>
                <w:lang w:eastAsia="ru-RU"/>
              </w:rPr>
            </w:pPr>
          </w:p>
        </w:tc>
        <w:tc>
          <w:tcPr>
            <w:tcW w:w="1205" w:type="dxa"/>
          </w:tcPr>
          <w:p>
            <w:pPr>
              <w:jc w:val="both"/>
              <w:rPr>
                <w:rFonts w:ascii="Times New Roman" w:hAnsi="Times New Roman" w:eastAsia="Calibri" w:cs="Times New Roman"/>
                <w:b/>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tcPr>
          <w:p>
            <w:pPr>
              <w:pStyle w:val="14"/>
              <w:tabs>
                <w:tab w:val="left" w:pos="284"/>
              </w:tabs>
              <w:spacing w:line="276" w:lineRule="auto"/>
              <w:ind w:left="0"/>
              <w:jc w:val="both"/>
              <w:rPr>
                <w:sz w:val="28"/>
                <w:szCs w:val="28"/>
              </w:rPr>
            </w:pPr>
            <w:r>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pPr>
              <w:jc w:val="both"/>
              <w:rPr>
                <w:rFonts w:ascii="Times New Roman" w:hAnsi="Times New Roman" w:eastAsia="Calibri" w:cs="Times New Roman"/>
                <w:b/>
                <w:sz w:val="28"/>
                <w:szCs w:val="28"/>
                <w:lang w:eastAsia="ru-RU"/>
              </w:rPr>
            </w:pPr>
          </w:p>
        </w:tc>
        <w:tc>
          <w:tcPr>
            <w:tcW w:w="1205" w:type="dxa"/>
          </w:tcPr>
          <w:p>
            <w:pPr>
              <w:jc w:val="both"/>
              <w:rPr>
                <w:rFonts w:ascii="Times New Roman" w:hAnsi="Times New Roman" w:eastAsia="Calibri" w:cs="Times New Roman"/>
                <w:b/>
                <w:sz w:val="28"/>
                <w:szCs w:val="28"/>
                <w:lang w:eastAsia="ru-RU"/>
              </w:rPr>
            </w:pPr>
          </w:p>
        </w:tc>
      </w:tr>
    </w:tbl>
    <w:p>
      <w:pPr>
        <w:jc w:val="both"/>
        <w:rPr>
          <w:rFonts w:ascii="Times New Roman" w:hAnsi="Times New Roman" w:cs="Times New Roman"/>
          <w:b/>
          <w:sz w:val="28"/>
          <w:szCs w:val="28"/>
        </w:rPr>
      </w:pPr>
    </w:p>
    <w:p>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360" w:type="dxa"/>
          </w:tcPr>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tc>
      </w:tr>
    </w:tbl>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Настоящим подтверждаю, что:</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данная декларация заполнена мною добровольно и с моего согласия;</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я прочитал и понял все вышеуказанные вопросы;</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pPr>
        <w:tabs>
          <w:tab w:val="left" w:pos="5378"/>
        </w:tabs>
        <w:jc w:val="both"/>
        <w:rPr>
          <w:rFonts w:ascii="Times New Roman" w:hAnsi="Times New Roman" w:cs="Times New Roman"/>
          <w:sz w:val="28"/>
          <w:szCs w:val="28"/>
        </w:rPr>
      </w:pPr>
    </w:p>
    <w:tbl>
      <w:tblPr>
        <w:tblStyle w:val="3"/>
        <w:tblW w:w="9526" w:type="dxa"/>
        <w:tblInd w:w="0" w:type="dxa"/>
        <w:tblLayout w:type="fixed"/>
        <w:tblCellMar>
          <w:top w:w="0" w:type="dxa"/>
          <w:left w:w="28" w:type="dxa"/>
          <w:bottom w:w="0" w:type="dxa"/>
          <w:right w:w="28" w:type="dxa"/>
        </w:tblCellMar>
      </w:tblPr>
      <w:tblGrid>
        <w:gridCol w:w="198"/>
        <w:gridCol w:w="454"/>
        <w:gridCol w:w="255"/>
        <w:gridCol w:w="1814"/>
        <w:gridCol w:w="397"/>
        <w:gridCol w:w="397"/>
        <w:gridCol w:w="340"/>
        <w:gridCol w:w="5671"/>
      </w:tblGrid>
      <w:tr>
        <w:tblPrEx>
          <w:tblCellMar>
            <w:top w:w="0" w:type="dxa"/>
            <w:left w:w="28" w:type="dxa"/>
            <w:bottom w:w="0" w:type="dxa"/>
            <w:right w:w="28" w:type="dxa"/>
          </w:tblCellMar>
        </w:tblPrEx>
        <w:tc>
          <w:tcPr>
            <w:tcW w:w="198" w:type="dxa"/>
            <w:tcBorders>
              <w:top w:val="nil"/>
              <w:left w:val="nil"/>
              <w:bottom w:val="nil"/>
              <w:right w:val="nil"/>
            </w:tcBorders>
            <w:vAlign w:val="bottom"/>
          </w:tcPr>
          <w:p>
            <w:pPr>
              <w:spacing w:after="0"/>
              <w:jc w:val="right"/>
              <w:rPr>
                <w:rFonts w:ascii="Times New Roman" w:hAnsi="Times New Roman" w:cs="Times New Roman"/>
                <w:sz w:val="28"/>
                <w:szCs w:val="28"/>
              </w:rPr>
            </w:pPr>
            <w:r>
              <w:rPr>
                <w:rFonts w:ascii="Times New Roman" w:hAnsi="Times New Roman" w:cs="Times New Roman"/>
                <w:sz w:val="28"/>
                <w:szCs w:val="28"/>
              </w:rPr>
              <w:t>"</w:t>
            </w:r>
          </w:p>
        </w:tc>
        <w:tc>
          <w:tcPr>
            <w:tcW w:w="454" w:type="dxa"/>
            <w:tcBorders>
              <w:top w:val="nil"/>
              <w:left w:val="nil"/>
              <w:bottom w:val="single" w:color="auto" w:sz="4" w:space="0"/>
              <w:right w:val="nil"/>
            </w:tcBorders>
            <w:vAlign w:val="bottom"/>
          </w:tcPr>
          <w:p>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pPr>
              <w:spacing w:after="0"/>
              <w:rPr>
                <w:rFonts w:ascii="Times New Roman" w:hAnsi="Times New Roman" w:cs="Times New Roman"/>
                <w:sz w:val="28"/>
                <w:szCs w:val="28"/>
              </w:rPr>
            </w:pPr>
            <w:r>
              <w:rPr>
                <w:rFonts w:ascii="Times New Roman" w:hAnsi="Times New Roman" w:cs="Times New Roman"/>
                <w:sz w:val="28"/>
                <w:szCs w:val="28"/>
              </w:rPr>
              <w:t>"</w:t>
            </w:r>
          </w:p>
        </w:tc>
        <w:tc>
          <w:tcPr>
            <w:tcW w:w="1814" w:type="dxa"/>
            <w:tcBorders>
              <w:top w:val="nil"/>
              <w:left w:val="nil"/>
              <w:bottom w:val="single" w:color="auto" w:sz="4" w:space="0"/>
              <w:right w:val="nil"/>
            </w:tcBorders>
            <w:vAlign w:val="bottom"/>
          </w:tcPr>
          <w:p>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pPr>
              <w:spacing w:after="0"/>
              <w:jc w:val="right"/>
              <w:rPr>
                <w:rFonts w:ascii="Times New Roman" w:hAnsi="Times New Roman" w:cs="Times New Roman"/>
                <w:sz w:val="28"/>
                <w:szCs w:val="28"/>
              </w:rPr>
            </w:pPr>
            <w:r>
              <w:rPr>
                <w:rFonts w:ascii="Times New Roman" w:hAnsi="Times New Roman" w:cs="Times New Roman"/>
                <w:sz w:val="28"/>
                <w:szCs w:val="28"/>
              </w:rPr>
              <w:t>20</w:t>
            </w:r>
          </w:p>
        </w:tc>
        <w:tc>
          <w:tcPr>
            <w:tcW w:w="397" w:type="dxa"/>
            <w:tcBorders>
              <w:top w:val="nil"/>
              <w:left w:val="nil"/>
              <w:bottom w:val="single" w:color="auto" w:sz="4" w:space="0"/>
              <w:right w:val="nil"/>
            </w:tcBorders>
            <w:vAlign w:val="bottom"/>
          </w:tcPr>
          <w:p>
            <w:pPr>
              <w:spacing w:after="0"/>
              <w:rPr>
                <w:rFonts w:ascii="Times New Roman" w:hAnsi="Times New Roman" w:cs="Times New Roman"/>
                <w:sz w:val="28"/>
                <w:szCs w:val="28"/>
              </w:rPr>
            </w:pPr>
          </w:p>
        </w:tc>
        <w:tc>
          <w:tcPr>
            <w:tcW w:w="340" w:type="dxa"/>
            <w:tcBorders>
              <w:top w:val="nil"/>
              <w:left w:val="nil"/>
              <w:bottom w:val="nil"/>
              <w:right w:val="nil"/>
            </w:tcBorders>
            <w:vAlign w:val="bottom"/>
          </w:tcPr>
          <w:p>
            <w:pPr>
              <w:spacing w:after="0"/>
              <w:ind w:left="57"/>
              <w:rPr>
                <w:rFonts w:ascii="Times New Roman" w:hAnsi="Times New Roman" w:cs="Times New Roman"/>
                <w:sz w:val="28"/>
                <w:szCs w:val="28"/>
              </w:rPr>
            </w:pPr>
            <w:r>
              <w:rPr>
                <w:rFonts w:ascii="Times New Roman" w:hAnsi="Times New Roman" w:cs="Times New Roman"/>
                <w:sz w:val="28"/>
                <w:szCs w:val="28"/>
              </w:rPr>
              <w:t>г.</w:t>
            </w:r>
          </w:p>
        </w:tc>
        <w:tc>
          <w:tcPr>
            <w:tcW w:w="5671" w:type="dxa"/>
            <w:tcBorders>
              <w:top w:val="nil"/>
              <w:left w:val="nil"/>
              <w:bottom w:val="single" w:color="auto" w:sz="4" w:space="0"/>
              <w:right w:val="nil"/>
            </w:tcBorders>
            <w:vAlign w:val="bottom"/>
          </w:tcPr>
          <w:p>
            <w:pPr>
              <w:spacing w:after="0"/>
              <w:jc w:val="center"/>
              <w:rPr>
                <w:rFonts w:ascii="Times New Roman" w:hAnsi="Times New Roman" w:cs="Times New Roman"/>
                <w:sz w:val="28"/>
                <w:szCs w:val="28"/>
              </w:rPr>
            </w:pPr>
          </w:p>
        </w:tc>
      </w:tr>
      <w:tr>
        <w:tblPrEx>
          <w:tblCellMar>
            <w:top w:w="0" w:type="dxa"/>
            <w:left w:w="28" w:type="dxa"/>
            <w:bottom w:w="0" w:type="dxa"/>
            <w:right w:w="28" w:type="dxa"/>
          </w:tblCellMar>
        </w:tblPrEx>
        <w:tc>
          <w:tcPr>
            <w:tcW w:w="198" w:type="dxa"/>
          </w:tcPr>
          <w:p>
            <w:pPr>
              <w:spacing w:after="0"/>
              <w:jc w:val="center"/>
              <w:rPr>
                <w:rFonts w:ascii="Times New Roman" w:hAnsi="Times New Roman" w:cs="Times New Roman"/>
              </w:rPr>
            </w:pPr>
          </w:p>
        </w:tc>
        <w:tc>
          <w:tcPr>
            <w:tcW w:w="454" w:type="dxa"/>
          </w:tcPr>
          <w:p>
            <w:pPr>
              <w:spacing w:after="0"/>
              <w:jc w:val="center"/>
              <w:rPr>
                <w:rFonts w:ascii="Times New Roman" w:hAnsi="Times New Roman" w:cs="Times New Roman"/>
              </w:rPr>
            </w:pPr>
          </w:p>
        </w:tc>
        <w:tc>
          <w:tcPr>
            <w:tcW w:w="255" w:type="dxa"/>
          </w:tcPr>
          <w:p>
            <w:pPr>
              <w:spacing w:after="0"/>
              <w:jc w:val="center"/>
              <w:rPr>
                <w:rFonts w:ascii="Times New Roman" w:hAnsi="Times New Roman" w:cs="Times New Roman"/>
              </w:rPr>
            </w:pPr>
          </w:p>
        </w:tc>
        <w:tc>
          <w:tcPr>
            <w:tcW w:w="1814" w:type="dxa"/>
          </w:tcPr>
          <w:p>
            <w:pPr>
              <w:spacing w:after="0"/>
              <w:jc w:val="center"/>
              <w:rPr>
                <w:rFonts w:ascii="Times New Roman" w:hAnsi="Times New Roman" w:cs="Times New Roman"/>
              </w:rPr>
            </w:pPr>
          </w:p>
        </w:tc>
        <w:tc>
          <w:tcPr>
            <w:tcW w:w="397" w:type="dxa"/>
          </w:tcPr>
          <w:p>
            <w:pPr>
              <w:spacing w:after="0"/>
              <w:jc w:val="center"/>
              <w:rPr>
                <w:rFonts w:ascii="Times New Roman" w:hAnsi="Times New Roman" w:cs="Times New Roman"/>
              </w:rPr>
            </w:pPr>
          </w:p>
        </w:tc>
        <w:tc>
          <w:tcPr>
            <w:tcW w:w="397" w:type="dxa"/>
          </w:tcPr>
          <w:p>
            <w:pPr>
              <w:spacing w:after="0"/>
              <w:jc w:val="center"/>
              <w:rPr>
                <w:rFonts w:ascii="Times New Roman" w:hAnsi="Times New Roman" w:cs="Times New Roman"/>
              </w:rPr>
            </w:pPr>
          </w:p>
        </w:tc>
        <w:tc>
          <w:tcPr>
            <w:tcW w:w="340" w:type="dxa"/>
          </w:tcPr>
          <w:p>
            <w:pPr>
              <w:spacing w:after="0"/>
              <w:ind w:left="57"/>
              <w:jc w:val="center"/>
              <w:rPr>
                <w:rFonts w:ascii="Times New Roman" w:hAnsi="Times New Roman" w:cs="Times New Roman"/>
              </w:rPr>
            </w:pPr>
          </w:p>
        </w:tc>
        <w:tc>
          <w:tcPr>
            <w:tcW w:w="5671" w:type="dxa"/>
          </w:tcPr>
          <w:p>
            <w:pPr>
              <w:spacing w:after="0"/>
              <w:jc w:val="center"/>
              <w:rPr>
                <w:rFonts w:ascii="Times New Roman" w:hAnsi="Times New Roman" w:cs="Times New Roman"/>
              </w:rPr>
            </w:pPr>
            <w:r>
              <w:rPr>
                <w:rFonts w:ascii="Times New Roman" w:hAnsi="Times New Roman" w:cs="Times New Roman"/>
              </w:rPr>
              <w:t>(подпись и Ф.И.О. лица, представляющего декларацию)</w:t>
            </w:r>
          </w:p>
        </w:tc>
      </w:tr>
    </w:tbl>
    <w:p>
      <w:pPr>
        <w:tabs>
          <w:tab w:val="left" w:pos="5378"/>
        </w:tabs>
        <w:jc w:val="both"/>
        <w:rPr>
          <w:rFonts w:ascii="Times New Roman" w:hAnsi="Times New Roman" w:cs="Times New Roman"/>
        </w:rPr>
      </w:pPr>
    </w:p>
    <w:tbl>
      <w:tblPr>
        <w:tblStyle w:val="3"/>
        <w:tblW w:w="9526" w:type="dxa"/>
        <w:tblInd w:w="0" w:type="dxa"/>
        <w:tblLayout w:type="fixed"/>
        <w:tblCellMar>
          <w:top w:w="0" w:type="dxa"/>
          <w:left w:w="28" w:type="dxa"/>
          <w:bottom w:w="0" w:type="dxa"/>
          <w:right w:w="28" w:type="dxa"/>
        </w:tblCellMar>
      </w:tblPr>
      <w:tblGrid>
        <w:gridCol w:w="198"/>
        <w:gridCol w:w="454"/>
        <w:gridCol w:w="255"/>
        <w:gridCol w:w="1814"/>
        <w:gridCol w:w="397"/>
        <w:gridCol w:w="397"/>
        <w:gridCol w:w="340"/>
        <w:gridCol w:w="5671"/>
      </w:tblGrid>
      <w:tr>
        <w:tblPrEx>
          <w:tblCellMar>
            <w:top w:w="0" w:type="dxa"/>
            <w:left w:w="28" w:type="dxa"/>
            <w:bottom w:w="0" w:type="dxa"/>
            <w:right w:w="28" w:type="dxa"/>
          </w:tblCellMar>
        </w:tblPrEx>
        <w:tc>
          <w:tcPr>
            <w:tcW w:w="198" w:type="dxa"/>
            <w:tcBorders>
              <w:top w:val="nil"/>
              <w:left w:val="nil"/>
              <w:bottom w:val="nil"/>
              <w:right w:val="nil"/>
            </w:tcBorders>
            <w:shd w:val="clear" w:color="auto" w:fill="auto"/>
            <w:vAlign w:val="bottom"/>
          </w:tcPr>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454"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1814" w:type="dxa"/>
            <w:tcBorders>
              <w:top w:val="nil"/>
              <w:left w:val="nil"/>
              <w:bottom w:val="single" w:color="auto" w:sz="4" w:space="0"/>
              <w:right w:val="nil"/>
            </w:tcBorders>
            <w:shd w:val="clear" w:color="auto" w:fill="auto"/>
            <w:vAlign w:val="bottom"/>
          </w:tcPr>
          <w:p>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w:t>
            </w:r>
          </w:p>
        </w:tc>
        <w:tc>
          <w:tcPr>
            <w:tcW w:w="397" w:type="dxa"/>
            <w:tcBorders>
              <w:top w:val="nil"/>
              <w:left w:val="nil"/>
              <w:bottom w:val="single" w:color="auto" w:sz="4" w:space="0"/>
              <w:right w:val="nil"/>
            </w:tcBorders>
            <w:shd w:val="clear" w:color="auto" w:fill="auto"/>
            <w:vAlign w:val="bottom"/>
          </w:tcPr>
          <w:p>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pPr>
              <w:spacing w:after="0" w:line="240" w:lineRule="auto"/>
              <w:ind w:left="57"/>
              <w:rPr>
                <w:rFonts w:ascii="Times New Roman" w:hAnsi="Times New Roman" w:cs="Times New Roman"/>
                <w:sz w:val="28"/>
                <w:szCs w:val="28"/>
              </w:rPr>
            </w:pPr>
            <w:r>
              <w:rPr>
                <w:rFonts w:ascii="Times New Roman" w:hAnsi="Times New Roman" w:cs="Times New Roman"/>
                <w:sz w:val="28"/>
                <w:szCs w:val="28"/>
              </w:rPr>
              <w:t>г.</w:t>
            </w:r>
          </w:p>
        </w:tc>
        <w:tc>
          <w:tcPr>
            <w:tcW w:w="5671" w:type="dxa"/>
            <w:tcBorders>
              <w:top w:val="nil"/>
              <w:left w:val="nil"/>
              <w:bottom w:val="single" w:color="auto" w:sz="4" w:space="0"/>
              <w:right w:val="nil"/>
            </w:tcBorders>
            <w:shd w:val="clear" w:color="auto" w:fill="auto"/>
            <w:vAlign w:val="bottom"/>
          </w:tcPr>
          <w:p>
            <w:pPr>
              <w:jc w:val="center"/>
              <w:rPr>
                <w:rFonts w:ascii="Times New Roman" w:hAnsi="Times New Roman" w:cs="Times New Roman"/>
                <w:sz w:val="24"/>
                <w:szCs w:val="24"/>
              </w:rPr>
            </w:pPr>
          </w:p>
        </w:tc>
      </w:tr>
      <w:tr>
        <w:tblPrEx>
          <w:tblCellMar>
            <w:top w:w="0" w:type="dxa"/>
            <w:left w:w="28" w:type="dxa"/>
            <w:bottom w:w="0" w:type="dxa"/>
            <w:right w:w="28" w:type="dxa"/>
          </w:tblCellMar>
        </w:tblPrEx>
        <w:tc>
          <w:tcPr>
            <w:tcW w:w="198" w:type="dxa"/>
            <w:shd w:val="clear" w:color="auto" w:fill="auto"/>
          </w:tcPr>
          <w:p>
            <w:pPr>
              <w:jc w:val="center"/>
              <w:rPr>
                <w:rFonts w:ascii="Times New Roman" w:hAnsi="Times New Roman" w:cs="Times New Roman"/>
              </w:rPr>
            </w:pPr>
          </w:p>
        </w:tc>
        <w:tc>
          <w:tcPr>
            <w:tcW w:w="454" w:type="dxa"/>
            <w:shd w:val="clear" w:color="auto" w:fill="auto"/>
          </w:tcPr>
          <w:p>
            <w:pPr>
              <w:jc w:val="center"/>
              <w:rPr>
                <w:rFonts w:ascii="Times New Roman" w:hAnsi="Times New Roman" w:cs="Times New Roman"/>
              </w:rPr>
            </w:pPr>
          </w:p>
        </w:tc>
        <w:tc>
          <w:tcPr>
            <w:tcW w:w="255" w:type="dxa"/>
            <w:shd w:val="clear" w:color="auto" w:fill="auto"/>
          </w:tcPr>
          <w:p>
            <w:pPr>
              <w:jc w:val="center"/>
              <w:rPr>
                <w:rFonts w:ascii="Times New Roman" w:hAnsi="Times New Roman" w:cs="Times New Roman"/>
              </w:rPr>
            </w:pPr>
          </w:p>
        </w:tc>
        <w:tc>
          <w:tcPr>
            <w:tcW w:w="1814" w:type="dxa"/>
            <w:shd w:val="clear" w:color="auto" w:fill="auto"/>
          </w:tcPr>
          <w:p>
            <w:pPr>
              <w:jc w:val="center"/>
              <w:rPr>
                <w:rFonts w:ascii="Times New Roman" w:hAnsi="Times New Roman" w:cs="Times New Roman"/>
              </w:rPr>
            </w:pPr>
          </w:p>
        </w:tc>
        <w:tc>
          <w:tcPr>
            <w:tcW w:w="397" w:type="dxa"/>
            <w:shd w:val="clear" w:color="auto" w:fill="auto"/>
          </w:tcPr>
          <w:p>
            <w:pPr>
              <w:jc w:val="center"/>
              <w:rPr>
                <w:rFonts w:ascii="Times New Roman" w:hAnsi="Times New Roman" w:cs="Times New Roman"/>
              </w:rPr>
            </w:pPr>
          </w:p>
        </w:tc>
        <w:tc>
          <w:tcPr>
            <w:tcW w:w="397" w:type="dxa"/>
            <w:shd w:val="clear" w:color="auto" w:fill="auto"/>
          </w:tcPr>
          <w:p>
            <w:pPr>
              <w:jc w:val="center"/>
              <w:rPr>
                <w:rFonts w:ascii="Times New Roman" w:hAnsi="Times New Roman" w:cs="Times New Roman"/>
              </w:rPr>
            </w:pPr>
          </w:p>
        </w:tc>
        <w:tc>
          <w:tcPr>
            <w:tcW w:w="340" w:type="dxa"/>
            <w:shd w:val="clear" w:color="auto" w:fill="auto"/>
          </w:tcPr>
          <w:p>
            <w:pPr>
              <w:ind w:left="57"/>
              <w:jc w:val="center"/>
              <w:rPr>
                <w:rFonts w:ascii="Times New Roman" w:hAnsi="Times New Roman" w:cs="Times New Roman"/>
              </w:rPr>
            </w:pPr>
          </w:p>
        </w:tc>
        <w:tc>
          <w:tcPr>
            <w:tcW w:w="5671" w:type="dxa"/>
            <w:shd w:val="clear" w:color="auto" w:fill="auto"/>
          </w:tcPr>
          <w:p>
            <w:pPr>
              <w:jc w:val="center"/>
              <w:rPr>
                <w:rFonts w:ascii="Times New Roman" w:hAnsi="Times New Roman" w:cs="Times New Roman"/>
              </w:rPr>
            </w:pPr>
            <w:r>
              <w:rPr>
                <w:rFonts w:ascii="Times New Roman" w:hAnsi="Times New Roman" w:cs="Times New Roman"/>
              </w:rPr>
              <w:t>(подпись и Ф.И.О. лица, принявшего декларацию)</w:t>
            </w:r>
          </w:p>
        </w:tc>
      </w:tr>
    </w:tbl>
    <w:p/>
    <w:sectPr>
      <w:headerReference r:id="rId6" w:type="default"/>
      <w:pgSz w:w="11906" w:h="16838"/>
      <w:pgMar w:top="1134" w:right="850" w:bottom="1134" w:left="1701"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before="0" w:after="0" w:line="276" w:lineRule="auto"/>
      </w:pPr>
      <w:r>
        <w:separator/>
      </w:r>
    </w:p>
  </w:footnote>
  <w:footnote w:type="continuationSeparator" w:id="27">
    <w:p>
      <w:pPr>
        <w:spacing w:before="0" w:after="0" w:line="276" w:lineRule="auto"/>
      </w:pPr>
      <w:r>
        <w:continuationSeparator/>
      </w:r>
    </w:p>
  </w:footnote>
  <w:footnote w:id="0">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1">
    <w:p>
      <w:pPr>
        <w:pStyle w:val="7"/>
        <w:jc w:val="both"/>
      </w:pPr>
      <w:r>
        <w:rPr>
          <w:rStyle w:val="4"/>
          <w:rFonts w:ascii="Times New Roman" w:hAnsi="Times New Roman" w:cs="Times New Roman"/>
        </w:rPr>
        <w:footnoteRef/>
      </w:r>
      <w:r>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w:t>
      </w:r>
      <w:r>
        <w:fldChar w:fldCharType="begin"/>
      </w:r>
      <w:r>
        <w:instrText xml:space="preserve"> HYPERLINK "https://rosmintrud.ru/ministry/programms/anticorruption/9/15" </w:instrText>
      </w:r>
      <w:r>
        <w:fldChar w:fldCharType="separate"/>
      </w:r>
      <w:r>
        <w:rPr>
          <w:rStyle w:val="5"/>
          <w:rFonts w:ascii="Times New Roman" w:hAnsi="Times New Roman" w:cs="Times New Roman"/>
        </w:rPr>
        <w:t>https://rosmintrud.ru/ministry/programms/anticorruption/9/15</w:t>
      </w:r>
      <w:r>
        <w:rPr>
          <w:rStyle w:val="5"/>
          <w:rFonts w:ascii="Times New Roman" w:hAnsi="Times New Roman" w:cs="Times New Roman"/>
        </w:rPr>
        <w:fldChar w:fldCharType="end"/>
      </w:r>
      <w:r>
        <w:rPr>
          <w:rFonts w:ascii="Times New Roman" w:hAnsi="Times New Roman" w:cs="Times New Roman"/>
        </w:rPr>
        <w:t>.</w:t>
      </w:r>
    </w:p>
  </w:footnote>
  <w:footnote w:id="2">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xml:space="preserve">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w:t>
      </w:r>
    </w:p>
    <w:p>
      <w:pPr>
        <w:pStyle w:val="7"/>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(пункт 10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w:t>
      </w:r>
    </w:p>
  </w:footnote>
  <w:footnote w:id="3">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(пункт 9 части 1 статьи 31 Федерального закона № 44-ФЗ).</w:t>
      </w:r>
    </w:p>
  </w:footnote>
  <w:footnote w:id="4">
    <w:p>
      <w:pPr>
        <w:pStyle w:val="7"/>
        <w:jc w:val="both"/>
      </w:pPr>
      <w:r>
        <w:rPr>
          <w:rStyle w:val="4"/>
          <w:rFonts w:ascii="Times New Roman" w:hAnsi="Times New Roman" w:cs="Times New Roman"/>
        </w:rPr>
        <w:footnoteRef/>
      </w:r>
      <w:r>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w:t>
      </w:r>
      <w:r>
        <w:fldChar w:fldCharType="begin"/>
      </w:r>
      <w:r>
        <w:instrText xml:space="preserve"> HYPERLINK "http://zachestnyezakupki.onf.ru/Public/Knowledge?category=GrayScheme" </w:instrText>
      </w:r>
      <w:r>
        <w:fldChar w:fldCharType="separate"/>
      </w:r>
      <w:r>
        <w:rPr>
          <w:rStyle w:val="5"/>
          <w:rFonts w:ascii="Times New Roman" w:hAnsi="Times New Roman" w:cs="Times New Roman"/>
        </w:rPr>
        <w:t>http://zachestnyezakupki.onf.ru/Public/Knowledge?category=GrayScheme</w:t>
      </w:r>
      <w:r>
        <w:rPr>
          <w:rStyle w:val="5"/>
          <w:rFonts w:ascii="Times New Roman" w:hAnsi="Times New Roman" w:cs="Times New Roman"/>
        </w:rPr>
        <w:fldChar w:fldCharType="end"/>
      </w:r>
      <w:r>
        <w:rPr>
          <w:rFonts w:ascii="Times New Roman" w:hAnsi="Times New Roman" w:cs="Times New Roman"/>
        </w:rPr>
        <w:t>.</w:t>
      </w:r>
    </w:p>
  </w:footnote>
  <w:footnote w:id="5">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 1065.</w:t>
      </w:r>
    </w:p>
  </w:footnote>
  <w:footnote w:id="6">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Часть 23 статьи 34 Федерального закона № 44-ФЗ во взаимосвязи с постановление Правительства Российской Федерации от 4 сентября 2013 г.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
    <w:p>
      <w:pPr>
        <w:pStyle w:val="7"/>
        <w:jc w:val="both"/>
        <w:rPr>
          <w:rFonts w:ascii="Times New Roman" w:hAnsi="Times New Roman" w:cs="Times New Roman"/>
        </w:rPr>
      </w:pPr>
      <w:r>
        <w:rPr>
          <w:rFonts w:ascii="Times New Roman" w:hAnsi="Times New Roman" w:cs="Times New Roman"/>
        </w:rPr>
        <w:t xml:space="preserve">1 млрд. рублей - при осуществлении закупки для обеспечения федеральных нужд; </w:t>
      </w:r>
    </w:p>
    <w:p>
      <w:pPr>
        <w:pStyle w:val="7"/>
        <w:jc w:val="both"/>
      </w:pPr>
      <w:r>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7">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См., например, часть 29.1 статьи 34 Федерального закона № 44-ФЗ; 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8">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9">
    <w:p>
      <w:pPr>
        <w:pStyle w:val="7"/>
        <w:jc w:val="both"/>
      </w:pPr>
      <w:r>
        <w:rPr>
          <w:rStyle w:val="4"/>
          <w:rFonts w:ascii="Times New Roman" w:hAnsi="Times New Roman" w:cs="Times New Roman"/>
        </w:rPr>
        <w:footnoteRef/>
      </w:r>
      <w:r>
        <w:rPr>
          <w:rFonts w:ascii="Times New Roman" w:hAnsi="Times New Roman" w:cs="Times New Roman"/>
        </w:rPr>
        <w: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 что права и свободы человека и гражданина могут быть ограничены только федеральным законом.</w:t>
      </w:r>
    </w:p>
  </w:footnote>
  <w:footnote w:id="10">
    <w:p>
      <w:pPr>
        <w:pStyle w:val="7"/>
        <w:jc w:val="both"/>
        <w:rPr>
          <w:rFonts w:ascii="Times New Roman" w:hAnsi="Times New Roman" w:cs="Times New Roman"/>
        </w:rPr>
      </w:pPr>
      <w:r>
        <w:rPr>
          <w:rStyle w:val="4"/>
          <w:rFonts w:ascii="Times New Roman" w:hAnsi="Times New Roman" w:cs="Times New Roman"/>
        </w:rPr>
        <w:footnoteRef/>
      </w:r>
      <w:r>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r>
        <w:fldChar w:fldCharType="begin"/>
      </w:r>
      <w:r>
        <w:instrText xml:space="preserve"> HYPERLINK "https://rosmintrud.ru/ministry/programms/anticorruption/015" </w:instrText>
      </w:r>
      <w:r>
        <w:fldChar w:fldCharType="separate"/>
      </w:r>
      <w:r>
        <w:rPr>
          <w:rStyle w:val="5"/>
          <w:rFonts w:ascii="Times New Roman" w:hAnsi="Times New Roman" w:cs="Times New Roman"/>
        </w:rPr>
        <w:t>https://rosmintrud.ru/ministry/programms/anticorruption/015</w:t>
      </w:r>
      <w:r>
        <w:rPr>
          <w:rStyle w:val="5"/>
          <w:rFonts w:ascii="Times New Roman" w:hAnsi="Times New Roman" w:cs="Times New Roman"/>
        </w:rPr>
        <w:fldChar w:fldCharType="end"/>
      </w:r>
      <w:r>
        <w:rPr>
          <w:rFonts w:ascii="Times New Roman" w:hAnsi="Times New Roman" w:cs="Times New Roman"/>
        </w:rPr>
        <w:t>.</w:t>
      </w:r>
    </w:p>
  </w:footnote>
  <w:footnote w:id="11">
    <w:p>
      <w:pPr>
        <w:pStyle w:val="7"/>
        <w:jc w:val="both"/>
        <w:rPr>
          <w:rFonts w:ascii="Times New Roman" w:hAnsi="Times New Roman" w:cs="Times New Roman"/>
        </w:rPr>
      </w:pPr>
      <w:r>
        <w:rPr>
          <w:rFonts w:ascii="Times New Roman" w:hAnsi="Times New Roman" w:cs="Times New Roman"/>
          <w:vertAlign w:val="superscript"/>
        </w:rPr>
        <w:t>1</w:t>
      </w:r>
      <w:r>
        <w:rPr>
          <w:rStyle w:val="4"/>
          <w:rFonts w:ascii="Times New Roman" w:hAnsi="Times New Roman" w:cs="Times New Roman"/>
          <w:color w:val="FFFFFF" w:themeColor="background1"/>
          <w:sz w:val="2"/>
          <w14:textFill>
            <w14:solidFill>
              <w14:schemeClr w14:val="bg1"/>
            </w14:solidFill>
          </w14:textFill>
        </w:rPr>
        <w:footnoteRef/>
      </w:r>
      <w:r>
        <w:rPr>
          <w:rFonts w:ascii="Times New Roman" w:hAnsi="Times New Roman" w:cs="Times New Roman"/>
        </w:rPr>
        <w:t>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pPr>
        <w:pStyle w:val="7"/>
        <w:jc w:val="both"/>
        <w:rPr>
          <w:rFonts w:ascii="Times New Roman" w:hAnsi="Times New Roman" w:cs="Times New Roman"/>
        </w:rPr>
      </w:pPr>
      <w:r>
        <w:rPr>
          <w:rFonts w:ascii="Times New Roman" w:hAnsi="Times New Roman" w:cs="Times New Roman"/>
        </w:rPr>
        <w:t xml:space="preserve">Необходимо внимательно ознакомиться с приведенными ниже вопросами и ответить "да" или "нет" на каждый из них (допускается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pPr>
        <w:pStyle w:val="7"/>
        <w:jc w:val="both"/>
        <w:rPr>
          <w:rFonts w:ascii="Times New Roman" w:hAnsi="Times New Roman" w:cs="Times New Roman"/>
        </w:rPr>
      </w:pPr>
      <w:r>
        <w:rPr>
          <w:rFonts w:ascii="Times New Roman" w:hAnsi="Times New Roman" w:cs="Times New Roman"/>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footnote>
  <w:footnote w:id="12">
    <w:p>
      <w:pPr>
        <w:pStyle w:val="7"/>
        <w:jc w:val="both"/>
        <w:rPr>
          <w:rFonts w:ascii="Times New Roman" w:hAnsi="Times New Roman" w:cs="Times New Roman"/>
        </w:rPr>
      </w:pPr>
      <w:r>
        <w:rPr>
          <w:rFonts w:ascii="Times New Roman" w:hAnsi="Times New Roman" w:cs="Times New Roman"/>
          <w:vertAlign w:val="superscript"/>
        </w:rPr>
        <w:t>2</w:t>
      </w:r>
      <w:r>
        <w:rPr>
          <w:rStyle w:val="4"/>
          <w:rFonts w:ascii="Times New Roman" w:hAnsi="Times New Roman" w:cs="Times New Roman"/>
          <w:color w:val="FFFFFF" w:themeColor="background1"/>
          <w:sz w:val="2"/>
          <w14:textFill>
            <w14:solidFill>
              <w14:schemeClr w14:val="bg1"/>
            </w14:solidFill>
          </w14:textFill>
        </w:rPr>
        <w:footnoteRef/>
      </w:r>
      <w:r>
        <w:rPr>
          <w:rFonts w:ascii="Times New Roman" w:hAnsi="Times New Roman" w:cs="Times New Roman"/>
          <w:color w:val="FFFFFF" w:themeColor="background1"/>
          <w:sz w:val="2"/>
          <w14:textFill>
            <w14:solidFill>
              <w14:schemeClr w14:val="bg1"/>
            </w14:solidFill>
          </w14:textFill>
        </w:rPr>
        <w:t> </w:t>
      </w:r>
      <w:r>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0201349"/>
      <w:docPartObj>
        <w:docPartGallery w:val="AutoText"/>
      </w:docPartObj>
    </w:sdtPr>
    <w:sdtEndPr>
      <w:rPr>
        <w:rFonts w:ascii="Times New Roman" w:hAnsi="Times New Roman" w:cs="Times New Roman"/>
        <w:sz w:val="28"/>
        <w:szCs w:val="28"/>
      </w:rPr>
    </w:sdtEndPr>
    <w:sdtContent>
      <w:p>
        <w:pPr>
          <w:pStyle w:val="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p>
    </w:sdtContent>
  </w:sdt>
  <w:p>
    <w:pPr>
      <w:pStyle w:val="8"/>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566767"/>
      <w:docPartObj>
        <w:docPartGallery w:val="AutoText"/>
      </w:docPartObj>
    </w:sdtPr>
    <w:sdtEndPr>
      <w:rPr>
        <w:rFonts w:ascii="Times New Roman" w:hAnsi="Times New Roman" w:cs="Times New Roman"/>
        <w:sz w:val="28"/>
      </w:rPr>
    </w:sdtEndPr>
    <w:sdtContent>
      <w:p>
        <w:pPr>
          <w:pStyle w:val="8"/>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rPr>
          <w:t>2</w:t>
        </w:r>
        <w:r>
          <w:rPr>
            <w:rFonts w:ascii="Times New Roman" w:hAnsi="Times New Roman" w:cs="Times New Roman"/>
            <w:sz w:val="28"/>
          </w:rPr>
          <w:fldChar w:fldCharType="end"/>
        </w:r>
      </w:p>
    </w:sdtContent>
  </w:sdt>
  <w:p>
    <w:pPr>
      <w:pStyle w:val="8"/>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E6915"/>
    <w:multiLevelType w:val="multilevel"/>
    <w:tmpl w:val="1DEE691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7282384A"/>
    <w:multiLevelType w:val="multilevel"/>
    <w:tmpl w:val="7282384A"/>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08"/>
  <w:characterSpacingControl w:val="doNotCompress"/>
  <w:footnotePr>
    <w:footnote w:id="26"/>
    <w:footnote w:id="2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 w:val="397307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vertAlign w:val="superscript"/>
    </w:rPr>
  </w:style>
  <w:style w:type="character" w:styleId="5">
    <w:name w:val="Hyperlink"/>
    <w:basedOn w:val="2"/>
    <w:unhideWhenUsed/>
    <w:uiPriority w:val="99"/>
    <w:rPr>
      <w:color w:val="0563C1" w:themeColor="hyperlink"/>
      <w:u w:val="single"/>
      <w14:textFill>
        <w14:solidFill>
          <w14:schemeClr w14:val="hlink"/>
        </w14:solidFill>
      </w14:textFill>
    </w:rPr>
  </w:style>
  <w:style w:type="paragraph" w:styleId="6">
    <w:name w:val="Balloon Text"/>
    <w:basedOn w:val="1"/>
    <w:link w:val="16"/>
    <w:semiHidden/>
    <w:unhideWhenUsed/>
    <w:uiPriority w:val="99"/>
    <w:pPr>
      <w:spacing w:after="0" w:line="240" w:lineRule="auto"/>
    </w:pPr>
    <w:rPr>
      <w:rFonts w:ascii="Segoe UI" w:hAnsi="Segoe UI" w:cs="Segoe UI"/>
      <w:sz w:val="18"/>
      <w:szCs w:val="18"/>
    </w:rPr>
  </w:style>
  <w:style w:type="paragraph" w:styleId="7">
    <w:name w:val="footnote text"/>
    <w:basedOn w:val="1"/>
    <w:link w:val="11"/>
    <w:unhideWhenUsed/>
    <w:uiPriority w:val="99"/>
    <w:pPr>
      <w:spacing w:after="0" w:line="240" w:lineRule="auto"/>
    </w:pPr>
    <w:rPr>
      <w:sz w:val="20"/>
      <w:szCs w:val="20"/>
    </w:rPr>
  </w:style>
  <w:style w:type="paragraph" w:styleId="8">
    <w:name w:val="header"/>
    <w:basedOn w:val="1"/>
    <w:link w:val="12"/>
    <w:unhideWhenUsed/>
    <w:uiPriority w:val="99"/>
    <w:pPr>
      <w:tabs>
        <w:tab w:val="center" w:pos="4677"/>
        <w:tab w:val="right" w:pos="9355"/>
      </w:tabs>
      <w:spacing w:after="0" w:line="240" w:lineRule="auto"/>
    </w:pPr>
  </w:style>
  <w:style w:type="paragraph" w:styleId="9">
    <w:name w:val="footer"/>
    <w:basedOn w:val="1"/>
    <w:link w:val="13"/>
    <w:unhideWhenUsed/>
    <w:qFormat/>
    <w:uiPriority w:val="99"/>
    <w:pPr>
      <w:tabs>
        <w:tab w:val="center" w:pos="4677"/>
        <w:tab w:val="right" w:pos="9355"/>
      </w:tabs>
      <w:spacing w:after="0" w:line="240" w:lineRule="auto"/>
    </w:pPr>
  </w:style>
  <w:style w:type="table" w:styleId="10">
    <w:name w:val="Table Grid"/>
    <w:basedOn w:val="3"/>
    <w:uiPriority w:val="3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Текст сноски Знак"/>
    <w:basedOn w:val="2"/>
    <w:link w:val="7"/>
    <w:qFormat/>
    <w:uiPriority w:val="99"/>
    <w:rPr>
      <w:sz w:val="20"/>
      <w:szCs w:val="20"/>
    </w:rPr>
  </w:style>
  <w:style w:type="character" w:customStyle="1" w:styleId="12">
    <w:name w:val="Верхний колонтитул Знак"/>
    <w:basedOn w:val="2"/>
    <w:link w:val="8"/>
    <w:qFormat/>
    <w:uiPriority w:val="99"/>
  </w:style>
  <w:style w:type="character" w:customStyle="1" w:styleId="13">
    <w:name w:val="Нижний колонтитул Знак"/>
    <w:basedOn w:val="2"/>
    <w:link w:val="9"/>
    <w:qFormat/>
    <w:uiPriority w:val="99"/>
  </w:style>
  <w:style w:type="paragraph" w:styleId="14">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paragraph" w:customStyle="1" w:styleId="15">
    <w:name w:val="ConsPlusNon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16">
    <w:name w:val="Текст выноски Знак"/>
    <w:basedOn w:val="2"/>
    <w:link w:val="6"/>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22E1-AD05-4F23-B9DE-E3486ECAC2B3}">
  <ds:schemaRefs/>
</ds:datastoreItem>
</file>

<file path=docProps/app.xml><?xml version="1.0" encoding="utf-8"?>
<Properties xmlns="http://schemas.openxmlformats.org/officeDocument/2006/extended-properties" xmlns:vt="http://schemas.openxmlformats.org/officeDocument/2006/docPropsVTypes">
  <Template>Normal</Template>
  <Pages>24</Pages>
  <Words>7048</Words>
  <Characters>40176</Characters>
  <Lines>334</Lines>
  <Paragraphs>94</Paragraphs>
  <TotalTime>3</TotalTime>
  <ScaleCrop>false</ScaleCrop>
  <LinksUpToDate>false</LinksUpToDate>
  <CharactersWithSpaces>47130</CharactersWithSpaces>
  <Application>WPS Office_11.2.0.11251_F1E327BC-269C-435d-A152-05C5408002CA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2020-05-15T08:36:00Z</dcterms:created>
  <dc:creator>Тугучев Никита Максимович</dc:creator>
  <cp:lastModifiedBy>kadr652</cp:lastModifiedBy>
  <cp:lastPrinted>2020-05-15T07:48:00Z</cp:lastPrinted>
  <dcterms:modified xsi:type="dcterms:W3CDTF">2024-07-24T12:47:07Z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1049-11.2.0.11251</vt:lpwstr>
  </property>
  <property fmtid="{D5CDD505-2E9C-101B-9397-08002B2CF9AE}" pid="3" name="ICV">
    <vt:lpwstr>3DB3EC77FFF94E9BAF36D6E8D18B7A41</vt:lpwstr>
  </property>
</Properties>
</file>