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9D" w:rsidRPr="00C8109D" w:rsidRDefault="00C8109D" w:rsidP="005E564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8109D">
        <w:rPr>
          <w:rFonts w:ascii="Times New Roman" w:hAnsi="Times New Roman" w:cs="Times New Roman"/>
          <w:sz w:val="28"/>
        </w:rPr>
        <w:t xml:space="preserve">АНАЛИТИЧЕСКАЯ СПРАВКА </w:t>
      </w:r>
    </w:p>
    <w:p w:rsidR="00E27855" w:rsidRDefault="00C8109D" w:rsidP="005E564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8109D">
        <w:rPr>
          <w:rFonts w:ascii="Times New Roman" w:hAnsi="Times New Roman" w:cs="Times New Roman"/>
          <w:sz w:val="28"/>
        </w:rPr>
        <w:t xml:space="preserve">по результатам </w:t>
      </w:r>
      <w:r w:rsidR="00346975">
        <w:rPr>
          <w:rFonts w:ascii="Times New Roman" w:hAnsi="Times New Roman" w:cs="Times New Roman"/>
          <w:sz w:val="28"/>
        </w:rPr>
        <w:t xml:space="preserve">регионального </w:t>
      </w:r>
      <w:r w:rsidR="008805AD">
        <w:rPr>
          <w:rFonts w:ascii="Times New Roman" w:hAnsi="Times New Roman" w:cs="Times New Roman"/>
          <w:sz w:val="28"/>
        </w:rPr>
        <w:t>исследования</w:t>
      </w:r>
      <w:r w:rsidRPr="00C8109D">
        <w:rPr>
          <w:rFonts w:ascii="Times New Roman" w:hAnsi="Times New Roman" w:cs="Times New Roman"/>
          <w:sz w:val="28"/>
        </w:rPr>
        <w:t xml:space="preserve"> предметных и методических компетенций педагогических работников</w:t>
      </w:r>
      <w:r w:rsidR="00346975">
        <w:rPr>
          <w:rFonts w:ascii="Times New Roman" w:hAnsi="Times New Roman" w:cs="Times New Roman"/>
          <w:sz w:val="28"/>
        </w:rPr>
        <w:t xml:space="preserve"> </w:t>
      </w:r>
      <w:r w:rsidR="00346975" w:rsidRPr="00C8109D">
        <w:rPr>
          <w:rFonts w:ascii="Times New Roman" w:hAnsi="Times New Roman" w:cs="Times New Roman"/>
          <w:sz w:val="28"/>
          <w:szCs w:val="28"/>
        </w:rPr>
        <w:t>Амурской области</w:t>
      </w:r>
      <w:r w:rsidR="00346975" w:rsidRPr="00C810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975" w:rsidRPr="00C8109D">
        <w:rPr>
          <w:rFonts w:ascii="Times New Roman" w:hAnsi="Times New Roman" w:cs="Times New Roman"/>
          <w:sz w:val="28"/>
          <w:szCs w:val="28"/>
        </w:rPr>
        <w:t>в школах с низкими результатами обучения и /или в школах, функционирующих в сложных социальных условиях</w:t>
      </w:r>
    </w:p>
    <w:p w:rsidR="008805AD" w:rsidRPr="00C8109D" w:rsidRDefault="008805AD" w:rsidP="005E564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8109D" w:rsidRPr="009503EC" w:rsidRDefault="00C8109D" w:rsidP="004A779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9503EC">
        <w:rPr>
          <w:rFonts w:ascii="Times New Roman" w:hAnsi="Times New Roman" w:cs="Times New Roman"/>
          <w:b/>
          <w:sz w:val="28"/>
        </w:rPr>
        <w:t>Цели и задачи исследования</w:t>
      </w:r>
    </w:p>
    <w:p w:rsidR="008805AD" w:rsidRPr="00C8109D" w:rsidRDefault="00C8109D" w:rsidP="004A7798">
      <w:pPr>
        <w:pStyle w:val="a4"/>
        <w:tabs>
          <w:tab w:val="left" w:pos="709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33495">
        <w:rPr>
          <w:rFonts w:ascii="Times New Roman" w:hAnsi="Times New Roman" w:cs="Times New Roman"/>
          <w:sz w:val="28"/>
        </w:rPr>
        <w:t xml:space="preserve">Оценка и развитие компетенций учителя на разных этапах его профессиональной карьеры является одним из важнейших направлений государственной политики в сфере образования. </w:t>
      </w:r>
      <w:r w:rsidR="006E0FF6">
        <w:rPr>
          <w:rFonts w:ascii="Times New Roman" w:hAnsi="Times New Roman" w:cs="Times New Roman"/>
          <w:sz w:val="28"/>
        </w:rPr>
        <w:t xml:space="preserve">Именно поэтому </w:t>
      </w:r>
      <w:r w:rsidR="00B56772">
        <w:rPr>
          <w:rFonts w:ascii="Times New Roman" w:hAnsi="Times New Roman" w:cs="Times New Roman"/>
          <w:sz w:val="28"/>
        </w:rPr>
        <w:t xml:space="preserve">частью региональной системы управления качеством образования </w:t>
      </w:r>
      <w:r w:rsidR="005E4102">
        <w:rPr>
          <w:rFonts w:ascii="Times New Roman" w:hAnsi="Times New Roman" w:cs="Times New Roman"/>
          <w:sz w:val="28"/>
        </w:rPr>
        <w:t>стал</w:t>
      </w:r>
      <w:r w:rsidR="00B56772">
        <w:rPr>
          <w:rFonts w:ascii="Times New Roman" w:hAnsi="Times New Roman" w:cs="Times New Roman"/>
          <w:sz w:val="28"/>
        </w:rPr>
        <w:t xml:space="preserve"> </w:t>
      </w:r>
      <w:r w:rsidR="008805AD">
        <w:rPr>
          <w:rFonts w:ascii="Times New Roman" w:hAnsi="Times New Roman" w:cs="Times New Roman"/>
          <w:sz w:val="28"/>
        </w:rPr>
        <w:t>м</w:t>
      </w:r>
      <w:r w:rsidR="006E0FF6">
        <w:rPr>
          <w:rFonts w:ascii="Times New Roman" w:hAnsi="Times New Roman" w:cs="Times New Roman"/>
          <w:sz w:val="28"/>
        </w:rPr>
        <w:t>о</w:t>
      </w:r>
      <w:r w:rsidR="008805AD" w:rsidRPr="00C8109D">
        <w:rPr>
          <w:rFonts w:ascii="Times New Roman" w:hAnsi="Times New Roman" w:cs="Times New Roman"/>
          <w:sz w:val="28"/>
          <w:szCs w:val="28"/>
        </w:rPr>
        <w:t>ниторинг предметных и методических компетенций педагогических работников системы общего образования</w:t>
      </w:r>
      <w:r w:rsidR="004A7798" w:rsidRPr="004A7798">
        <w:rPr>
          <w:rFonts w:ascii="Times New Roman" w:hAnsi="Times New Roman" w:cs="Times New Roman"/>
          <w:sz w:val="28"/>
          <w:szCs w:val="28"/>
        </w:rPr>
        <w:t xml:space="preserve"> </w:t>
      </w:r>
      <w:r w:rsidR="004A7798">
        <w:rPr>
          <w:rFonts w:ascii="Times New Roman" w:hAnsi="Times New Roman" w:cs="Times New Roman"/>
          <w:sz w:val="28"/>
          <w:szCs w:val="28"/>
        </w:rPr>
        <w:t>Амурской области</w:t>
      </w:r>
      <w:r w:rsidR="00B56772">
        <w:rPr>
          <w:rFonts w:ascii="Times New Roman" w:hAnsi="Times New Roman" w:cs="Times New Roman"/>
          <w:sz w:val="28"/>
          <w:szCs w:val="28"/>
        </w:rPr>
        <w:t>, который</w:t>
      </w:r>
      <w:r w:rsidR="008805AD" w:rsidRPr="00C8109D">
        <w:rPr>
          <w:rFonts w:ascii="Times New Roman" w:hAnsi="Times New Roman" w:cs="Times New Roman"/>
          <w:sz w:val="28"/>
          <w:szCs w:val="28"/>
        </w:rPr>
        <w:t xml:space="preserve"> осуществляется в рамках требований профессионального стандарта «Педагог» и направлен на повышение уровня профессионализма учителей путём выявления профессиональных дефицитов и выстраивания маршрута их профессионального роста. </w:t>
      </w:r>
    </w:p>
    <w:p w:rsidR="008805AD" w:rsidRPr="00C8109D" w:rsidRDefault="00B56772" w:rsidP="004A7798">
      <w:pPr>
        <w:pStyle w:val="a4"/>
        <w:tabs>
          <w:tab w:val="left" w:pos="567"/>
          <w:tab w:val="left" w:pos="709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мониторинг в 2021 году проводится среди педагогических работников школ с низкими результатами </w:t>
      </w:r>
      <w:r w:rsidR="005E4102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805AD" w:rsidRPr="00C8109D">
        <w:rPr>
          <w:rFonts w:ascii="Times New Roman" w:hAnsi="Times New Roman" w:cs="Times New Roman"/>
          <w:sz w:val="28"/>
          <w:szCs w:val="28"/>
        </w:rPr>
        <w:t>решает</w:t>
      </w:r>
      <w:r w:rsidR="008805AD" w:rsidRPr="00C8109D">
        <w:rPr>
          <w:rFonts w:ascii="Times New Roman" w:eastAsia="Times New Roman" w:hAnsi="Times New Roman" w:cs="Times New Roman"/>
          <w:sz w:val="28"/>
          <w:szCs w:val="28"/>
        </w:rPr>
        <w:t xml:space="preserve"> следующие задачи:</w:t>
      </w:r>
    </w:p>
    <w:p w:rsidR="008805AD" w:rsidRPr="00C8109D" w:rsidRDefault="008805AD" w:rsidP="004A7798">
      <w:pPr>
        <w:pStyle w:val="a4"/>
        <w:numPr>
          <w:ilvl w:val="0"/>
          <w:numId w:val="4"/>
        </w:numPr>
        <w:tabs>
          <w:tab w:val="left" w:pos="709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 оценка уровня </w:t>
      </w:r>
      <w:proofErr w:type="spellStart"/>
      <w:r w:rsidRPr="00C8109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8109D">
        <w:rPr>
          <w:rFonts w:ascii="Times New Roman" w:hAnsi="Times New Roman" w:cs="Times New Roman"/>
          <w:sz w:val="28"/>
          <w:szCs w:val="28"/>
        </w:rPr>
        <w:t xml:space="preserve"> предметных и методических компетенций педагогических работников;</w:t>
      </w:r>
    </w:p>
    <w:p w:rsidR="008805AD" w:rsidRPr="00C8109D" w:rsidRDefault="008805AD" w:rsidP="004A7798">
      <w:pPr>
        <w:pStyle w:val="a4"/>
        <w:numPr>
          <w:ilvl w:val="0"/>
          <w:numId w:val="4"/>
        </w:numPr>
        <w:tabs>
          <w:tab w:val="left" w:pos="709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 выявление профессиональных затруднений педагогов, возникающих в процессе решения профессиональных задач;</w:t>
      </w:r>
    </w:p>
    <w:p w:rsidR="008805AD" w:rsidRPr="00C8109D" w:rsidRDefault="008805AD" w:rsidP="004A7798">
      <w:pPr>
        <w:pStyle w:val="a4"/>
        <w:numPr>
          <w:ilvl w:val="0"/>
          <w:numId w:val="4"/>
        </w:numPr>
        <w:tabs>
          <w:tab w:val="left" w:pos="709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 определение перспектив повышения профессионализма и квалификации педагогов на основании выявленных профессиональных дефицитов.</w:t>
      </w:r>
    </w:p>
    <w:p w:rsidR="00C0325B" w:rsidRDefault="00C33495" w:rsidP="004A7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8109D">
        <w:rPr>
          <w:rFonts w:ascii="Times New Roman" w:eastAsia="Times New Roman" w:hAnsi="Times New Roman" w:cs="Times New Roman"/>
          <w:sz w:val="28"/>
          <w:szCs w:val="28"/>
        </w:rPr>
        <w:t>ониторинг</w:t>
      </w:r>
      <w:r w:rsidRPr="00C8109D">
        <w:rPr>
          <w:rFonts w:ascii="Times New Roman" w:hAnsi="Times New Roman" w:cs="Times New Roman"/>
          <w:sz w:val="28"/>
          <w:szCs w:val="28"/>
        </w:rPr>
        <w:t xml:space="preserve"> предметных и методических компетенций педагогических работников Амурской области</w:t>
      </w:r>
      <w:r w:rsidRPr="00C810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09D">
        <w:rPr>
          <w:rFonts w:ascii="Times New Roman" w:hAnsi="Times New Roman" w:cs="Times New Roman"/>
          <w:sz w:val="28"/>
          <w:szCs w:val="28"/>
        </w:rPr>
        <w:t xml:space="preserve">в школах с низкими результатами обучения </w:t>
      </w:r>
      <w:r w:rsidR="005E4102">
        <w:rPr>
          <w:rFonts w:ascii="Times New Roman" w:eastAsia="Times New Roman" w:hAnsi="Times New Roman" w:cs="Times New Roman"/>
          <w:sz w:val="28"/>
          <w:szCs w:val="28"/>
        </w:rPr>
        <w:t>был проведён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8109D" w:rsidRPr="00C33495">
        <w:rPr>
          <w:rFonts w:ascii="Times New Roman" w:hAnsi="Times New Roman" w:cs="Times New Roman"/>
          <w:sz w:val="28"/>
        </w:rPr>
        <w:t>соответствии с</w:t>
      </w:r>
      <w:r w:rsidR="00C0325B">
        <w:rPr>
          <w:rFonts w:ascii="Times New Roman" w:hAnsi="Times New Roman" w:cs="Times New Roman"/>
          <w:sz w:val="28"/>
        </w:rPr>
        <w:t>:</w:t>
      </w:r>
    </w:p>
    <w:p w:rsidR="00C8109D" w:rsidRPr="00C33495" w:rsidRDefault="00C0325B" w:rsidP="004A77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C33495">
        <w:rPr>
          <w:rFonts w:ascii="Times New Roman" w:hAnsi="Times New Roman" w:cs="Times New Roman"/>
          <w:sz w:val="28"/>
        </w:rPr>
        <w:t xml:space="preserve">приказом </w:t>
      </w:r>
      <w:r w:rsidR="003C306A">
        <w:rPr>
          <w:rFonts w:ascii="Times New Roman" w:hAnsi="Times New Roman" w:cs="Times New Roman"/>
          <w:sz w:val="28"/>
        </w:rPr>
        <w:t xml:space="preserve">министерства образования и науки Амурской области от 02.03.2021 №232 «Об утверждении регламента проведения мониторинга </w:t>
      </w:r>
      <w:r w:rsidR="003C306A" w:rsidRPr="00C8109D">
        <w:rPr>
          <w:rFonts w:ascii="Times New Roman" w:hAnsi="Times New Roman" w:cs="Times New Roman"/>
          <w:sz w:val="28"/>
          <w:szCs w:val="28"/>
        </w:rPr>
        <w:t>предметных и методических компетенций педагогических работников Амурской области</w:t>
      </w:r>
      <w:r w:rsidR="003C306A" w:rsidRPr="00C810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06A" w:rsidRPr="00C8109D">
        <w:rPr>
          <w:rFonts w:ascii="Times New Roman" w:hAnsi="Times New Roman" w:cs="Times New Roman"/>
          <w:sz w:val="28"/>
          <w:szCs w:val="28"/>
        </w:rPr>
        <w:t>в школах с низкими результатами обучения и /или в школах, функционирующих в сложных социальных условиях</w:t>
      </w:r>
      <w:r w:rsidR="003C306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8109D" w:rsidRPr="00C8109D" w:rsidRDefault="001B0432" w:rsidP="004A7798">
      <w:pPr>
        <w:pStyle w:val="a4"/>
        <w:tabs>
          <w:tab w:val="left" w:pos="980"/>
        </w:tabs>
        <w:spacing w:after="0" w:line="360" w:lineRule="auto"/>
        <w:ind w:left="0" w:right="-1" w:firstLine="426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805AD">
        <w:rPr>
          <w:rFonts w:ascii="Times New Roman" w:hAnsi="Times New Roman" w:cs="Times New Roman"/>
          <w:bCs/>
          <w:sz w:val="28"/>
          <w:szCs w:val="28"/>
        </w:rPr>
        <w:t>п</w:t>
      </w:r>
      <w:r w:rsidR="00C8109D" w:rsidRPr="00C8109D">
        <w:rPr>
          <w:rFonts w:ascii="Times New Roman" w:hAnsi="Times New Roman" w:cs="Times New Roman"/>
          <w:bCs/>
          <w:sz w:val="28"/>
          <w:szCs w:val="28"/>
        </w:rPr>
        <w:t xml:space="preserve">риказом министерства образования и науки Амурской области №979 от 08.08.2019 года «Об утверждении модели региональной системы оценки качества образования»; </w:t>
      </w:r>
    </w:p>
    <w:p w:rsidR="00C8109D" w:rsidRPr="00C8109D" w:rsidRDefault="001B0432" w:rsidP="004A7798">
      <w:pPr>
        <w:pStyle w:val="a4"/>
        <w:tabs>
          <w:tab w:val="left" w:pos="980"/>
        </w:tabs>
        <w:spacing w:after="0" w:line="360" w:lineRule="auto"/>
        <w:ind w:left="0" w:right="-1" w:firstLine="426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805A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109D" w:rsidRPr="00C8109D">
        <w:rPr>
          <w:rFonts w:ascii="Times New Roman" w:eastAsia="Times New Roman" w:hAnsi="Times New Roman" w:cs="Times New Roman"/>
          <w:sz w:val="28"/>
          <w:szCs w:val="28"/>
        </w:rPr>
        <w:t>риказом министерства образования и науки Амурской области от 11.11.2019 №1391 "Об утверждении региональной модели поддержки школ с низкими результатами обучения и/или школ, функционирующих в неблагоприятных социальных условиях"</w:t>
      </w:r>
    </w:p>
    <w:p w:rsidR="00C8109D" w:rsidRPr="00C8109D" w:rsidRDefault="001B0432" w:rsidP="004A7798">
      <w:pPr>
        <w:pStyle w:val="a4"/>
        <w:tabs>
          <w:tab w:val="left" w:pos="980"/>
        </w:tabs>
        <w:spacing w:after="0" w:line="360" w:lineRule="auto"/>
        <w:ind w:left="0" w:right="-1" w:firstLine="426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805A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109D" w:rsidRPr="00C8109D">
        <w:rPr>
          <w:rFonts w:ascii="Times New Roman" w:eastAsia="Times New Roman" w:hAnsi="Times New Roman" w:cs="Times New Roman"/>
          <w:sz w:val="28"/>
          <w:szCs w:val="28"/>
        </w:rPr>
        <w:t>риказом министерства образования и науки Амурской области от 31.03.2020 №324 «Об утверждении положения о мониторинге состояния школ с низкими образовательными результатами и школ, функционирующих в неблагоприятных социальных условиях».</w:t>
      </w:r>
    </w:p>
    <w:p w:rsidR="00C8109D" w:rsidRPr="00C8109D" w:rsidRDefault="005E4102" w:rsidP="004A7798">
      <w:pPr>
        <w:pStyle w:val="a4"/>
        <w:tabs>
          <w:tab w:val="left" w:pos="567"/>
          <w:tab w:val="left" w:pos="709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организован и проведён в соответствии с принципами</w:t>
      </w:r>
      <w:r w:rsidR="00C8109D" w:rsidRPr="00C810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109D" w:rsidRPr="00C8109D" w:rsidRDefault="00C8109D" w:rsidP="004A7798">
      <w:pPr>
        <w:pStyle w:val="a4"/>
        <w:tabs>
          <w:tab w:val="left" w:pos="709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- направленность на трудовые функции и трудовые действия учителя, указанные в профессиональном стандарте «Педагог»; </w:t>
      </w:r>
    </w:p>
    <w:p w:rsidR="00C8109D" w:rsidRPr="00C8109D" w:rsidRDefault="00C8109D" w:rsidP="004A7798">
      <w:pPr>
        <w:pStyle w:val="a4"/>
        <w:tabs>
          <w:tab w:val="left" w:pos="709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- однородность структуры диагностических работ для разных учебных предметов; </w:t>
      </w:r>
    </w:p>
    <w:p w:rsidR="00C8109D" w:rsidRPr="00C8109D" w:rsidRDefault="00C8109D" w:rsidP="004A7798">
      <w:pPr>
        <w:pStyle w:val="a4"/>
        <w:tabs>
          <w:tab w:val="left" w:pos="709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>- наличие единых требований к заданиям, направленным на оценку предметных и ме</w:t>
      </w:r>
      <w:r w:rsidR="005E4102">
        <w:rPr>
          <w:rFonts w:ascii="Times New Roman" w:hAnsi="Times New Roman" w:cs="Times New Roman"/>
          <w:sz w:val="28"/>
          <w:szCs w:val="28"/>
        </w:rPr>
        <w:t>тодических компетенций учителей;</w:t>
      </w:r>
    </w:p>
    <w:p w:rsidR="00C8109D" w:rsidRPr="00C8109D" w:rsidRDefault="00C8109D" w:rsidP="004A7798">
      <w:pPr>
        <w:tabs>
          <w:tab w:val="left" w:pos="709"/>
          <w:tab w:val="left" w:pos="98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- соответствие содержания оценочных материалов требованиям федеральных государственных стандартов </w:t>
      </w:r>
      <w:r w:rsidR="005E4102">
        <w:rPr>
          <w:rFonts w:ascii="Times New Roman" w:hAnsi="Times New Roman" w:cs="Times New Roman"/>
          <w:sz w:val="28"/>
          <w:szCs w:val="28"/>
        </w:rPr>
        <w:t xml:space="preserve"> </w:t>
      </w:r>
      <w:r w:rsidRPr="00C8109D">
        <w:rPr>
          <w:rFonts w:ascii="Times New Roman" w:hAnsi="Times New Roman" w:cs="Times New Roman"/>
          <w:sz w:val="28"/>
          <w:szCs w:val="28"/>
        </w:rPr>
        <w:t>основного общего</w:t>
      </w:r>
      <w:r w:rsidR="005E4102">
        <w:rPr>
          <w:rFonts w:ascii="Times New Roman" w:hAnsi="Times New Roman" w:cs="Times New Roman"/>
          <w:sz w:val="28"/>
          <w:szCs w:val="28"/>
        </w:rPr>
        <w:t xml:space="preserve"> и</w:t>
      </w:r>
      <w:r w:rsidRPr="00C8109D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образования; </w:t>
      </w:r>
    </w:p>
    <w:p w:rsidR="00C8109D" w:rsidRPr="00C8109D" w:rsidRDefault="00C8109D" w:rsidP="004A7798">
      <w:pPr>
        <w:tabs>
          <w:tab w:val="left" w:pos="709"/>
          <w:tab w:val="left" w:pos="98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109D"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 w:rsidRPr="00C8109D">
        <w:rPr>
          <w:rFonts w:ascii="Times New Roman" w:hAnsi="Times New Roman" w:cs="Times New Roman"/>
          <w:sz w:val="28"/>
          <w:szCs w:val="28"/>
        </w:rPr>
        <w:t xml:space="preserve"> оценочных материалов; </w:t>
      </w:r>
    </w:p>
    <w:p w:rsidR="00C8109D" w:rsidRPr="00C8109D" w:rsidRDefault="00C8109D" w:rsidP="004A7798">
      <w:pPr>
        <w:tabs>
          <w:tab w:val="left" w:pos="709"/>
          <w:tab w:val="left" w:pos="980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- привлечение экспертного сообщества к проведению </w:t>
      </w:r>
      <w:r w:rsidR="005E4102">
        <w:rPr>
          <w:rFonts w:ascii="Times New Roman" w:hAnsi="Times New Roman" w:cs="Times New Roman"/>
          <w:sz w:val="28"/>
          <w:szCs w:val="28"/>
        </w:rPr>
        <w:t>м</w:t>
      </w:r>
      <w:r w:rsidRPr="00C8109D">
        <w:rPr>
          <w:rFonts w:ascii="Times New Roman" w:hAnsi="Times New Roman" w:cs="Times New Roman"/>
          <w:sz w:val="28"/>
          <w:szCs w:val="28"/>
        </w:rPr>
        <w:t xml:space="preserve">ониторинга (разработка и экспертиза оценочных материалов, оценка развернутых </w:t>
      </w:r>
      <w:r w:rsidRPr="00C8109D">
        <w:rPr>
          <w:rFonts w:ascii="Times New Roman" w:hAnsi="Times New Roman" w:cs="Times New Roman"/>
          <w:sz w:val="28"/>
          <w:szCs w:val="28"/>
        </w:rPr>
        <w:lastRenderedPageBreak/>
        <w:t xml:space="preserve">ответов, экспертная оценка аналитических материалов по результатам </w:t>
      </w:r>
      <w:r w:rsidR="005E4102">
        <w:rPr>
          <w:rFonts w:ascii="Times New Roman" w:hAnsi="Times New Roman" w:cs="Times New Roman"/>
          <w:sz w:val="28"/>
          <w:szCs w:val="28"/>
        </w:rPr>
        <w:t>мониторинга).</w:t>
      </w:r>
    </w:p>
    <w:p w:rsidR="00346975" w:rsidRPr="00C8109D" w:rsidRDefault="00346975" w:rsidP="004A7798">
      <w:pPr>
        <w:pStyle w:val="a4"/>
        <w:tabs>
          <w:tab w:val="left" w:pos="567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рекомендациями регионального учебно-методического объединения у</w:t>
      </w:r>
      <w:r w:rsidRPr="00C8109D">
        <w:rPr>
          <w:rFonts w:ascii="Times New Roman" w:hAnsi="Times New Roman" w:cs="Times New Roman"/>
          <w:bCs/>
          <w:sz w:val="28"/>
          <w:szCs w:val="28"/>
        </w:rPr>
        <w:t xml:space="preserve">частниками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C81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Pr="00C8109D">
        <w:rPr>
          <w:rFonts w:ascii="Times New Roman" w:hAnsi="Times New Roman" w:cs="Times New Roman"/>
          <w:sz w:val="28"/>
          <w:szCs w:val="28"/>
        </w:rPr>
        <w:t xml:space="preserve"> учителя, обеспечивающие освоение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Pr="00C8109D">
        <w:rPr>
          <w:rFonts w:ascii="Times New Roman" w:hAnsi="Times New Roman" w:cs="Times New Roman"/>
          <w:sz w:val="28"/>
          <w:szCs w:val="28"/>
        </w:rPr>
        <w:t>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8109D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по учебным предметам </w:t>
      </w:r>
      <w:r>
        <w:rPr>
          <w:rFonts w:ascii="Times New Roman" w:hAnsi="Times New Roman" w:cs="Times New Roman"/>
          <w:sz w:val="28"/>
          <w:szCs w:val="28"/>
        </w:rPr>
        <w:t>русский язык, математика, обществознание, биология, химия.</w:t>
      </w:r>
      <w:r w:rsidRPr="00C8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09D" w:rsidRPr="00C8109D" w:rsidRDefault="00C8109D" w:rsidP="004A7798">
      <w:pPr>
        <w:pStyle w:val="a4"/>
        <w:tabs>
          <w:tab w:val="left" w:pos="567"/>
          <w:tab w:val="left" w:pos="709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109D">
        <w:rPr>
          <w:rFonts w:ascii="Times New Roman" w:hAnsi="Times New Roman" w:cs="Times New Roman"/>
          <w:iCs/>
          <w:sz w:val="28"/>
          <w:szCs w:val="28"/>
        </w:rPr>
        <w:t xml:space="preserve">Объектом </w:t>
      </w:r>
      <w:r w:rsidR="005E4102">
        <w:rPr>
          <w:rFonts w:ascii="Times New Roman" w:hAnsi="Times New Roman" w:cs="Times New Roman"/>
          <w:sz w:val="28"/>
          <w:szCs w:val="28"/>
        </w:rPr>
        <w:t>исследования</w:t>
      </w:r>
      <w:r w:rsidR="00346975">
        <w:rPr>
          <w:rFonts w:ascii="Times New Roman" w:hAnsi="Times New Roman" w:cs="Times New Roman"/>
          <w:sz w:val="28"/>
          <w:szCs w:val="28"/>
        </w:rPr>
        <w:t xml:space="preserve"> в ходе мониторинга </w:t>
      </w:r>
      <w:r w:rsidRPr="00C8109D">
        <w:rPr>
          <w:rFonts w:ascii="Times New Roman" w:hAnsi="Times New Roman" w:cs="Times New Roman"/>
          <w:sz w:val="28"/>
          <w:szCs w:val="28"/>
        </w:rPr>
        <w:t xml:space="preserve"> явля</w:t>
      </w:r>
      <w:r w:rsidR="00346975">
        <w:rPr>
          <w:rFonts w:ascii="Times New Roman" w:hAnsi="Times New Roman" w:cs="Times New Roman"/>
          <w:sz w:val="28"/>
          <w:szCs w:val="28"/>
        </w:rPr>
        <w:t>лись</w:t>
      </w:r>
      <w:r w:rsidRPr="00C8109D">
        <w:rPr>
          <w:rFonts w:ascii="Times New Roman" w:hAnsi="Times New Roman" w:cs="Times New Roman"/>
          <w:sz w:val="28"/>
          <w:szCs w:val="28"/>
        </w:rPr>
        <w:t>:</w:t>
      </w:r>
    </w:p>
    <w:p w:rsidR="00C8109D" w:rsidRPr="00C8109D" w:rsidRDefault="00C8109D" w:rsidP="004A7798">
      <w:pPr>
        <w:pStyle w:val="a4"/>
        <w:tabs>
          <w:tab w:val="left" w:pos="980"/>
        </w:tabs>
        <w:spacing w:after="0" w:line="36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>-  знани</w:t>
      </w:r>
      <w:r w:rsidR="00346975">
        <w:rPr>
          <w:rFonts w:ascii="Times New Roman" w:hAnsi="Times New Roman" w:cs="Times New Roman"/>
          <w:sz w:val="28"/>
          <w:szCs w:val="28"/>
        </w:rPr>
        <w:t>я</w:t>
      </w:r>
      <w:r w:rsidRPr="00C8109D">
        <w:rPr>
          <w:rFonts w:ascii="Times New Roman" w:hAnsi="Times New Roman" w:cs="Times New Roman"/>
          <w:sz w:val="28"/>
          <w:szCs w:val="28"/>
        </w:rPr>
        <w:t xml:space="preserve"> </w:t>
      </w:r>
      <w:r w:rsidR="005E4102">
        <w:rPr>
          <w:rFonts w:ascii="Times New Roman" w:hAnsi="Times New Roman" w:cs="Times New Roman"/>
          <w:sz w:val="28"/>
          <w:szCs w:val="28"/>
        </w:rPr>
        <w:t xml:space="preserve">учителями школ с низкими результатами обучения </w:t>
      </w:r>
      <w:r w:rsidRPr="00C8109D">
        <w:rPr>
          <w:rFonts w:ascii="Times New Roman" w:hAnsi="Times New Roman" w:cs="Times New Roman"/>
          <w:sz w:val="28"/>
          <w:szCs w:val="28"/>
        </w:rPr>
        <w:t xml:space="preserve">преподаваемого предмета в пределах требований </w:t>
      </w:r>
      <w:r w:rsidR="005E4102">
        <w:rPr>
          <w:rFonts w:ascii="Times New Roman" w:hAnsi="Times New Roman" w:cs="Times New Roman"/>
          <w:sz w:val="28"/>
          <w:szCs w:val="28"/>
        </w:rPr>
        <w:t>ФГОС</w:t>
      </w:r>
      <w:r w:rsidRPr="00C8109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109D" w:rsidRPr="00C8109D" w:rsidRDefault="00C8109D" w:rsidP="004A7798">
      <w:pPr>
        <w:spacing w:after="0" w:line="36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- умение решать профессиональные задачи с позиций современной методики; </w:t>
      </w:r>
    </w:p>
    <w:p w:rsidR="00C8109D" w:rsidRPr="00C8109D" w:rsidRDefault="00C8109D" w:rsidP="004A7798">
      <w:pPr>
        <w:spacing w:after="0" w:line="36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>- уровень функциональной грамотности учителя.</w:t>
      </w:r>
    </w:p>
    <w:p w:rsidR="00C8109D" w:rsidRPr="00C8109D" w:rsidRDefault="00C8109D" w:rsidP="004A7798">
      <w:pPr>
        <w:pStyle w:val="a4"/>
        <w:tabs>
          <w:tab w:val="left" w:pos="567"/>
          <w:tab w:val="left" w:pos="980"/>
        </w:tabs>
        <w:spacing w:after="0" w:line="360" w:lineRule="auto"/>
        <w:ind w:left="0" w:right="-1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При отборе участников </w:t>
      </w:r>
      <w:r w:rsidR="005E4102">
        <w:rPr>
          <w:rFonts w:ascii="Times New Roman" w:hAnsi="Times New Roman" w:cs="Times New Roman"/>
          <w:sz w:val="28"/>
          <w:szCs w:val="28"/>
        </w:rPr>
        <w:t>исследования</w:t>
      </w:r>
      <w:r w:rsidRPr="00C8109D">
        <w:rPr>
          <w:rFonts w:ascii="Times New Roman" w:hAnsi="Times New Roman" w:cs="Times New Roman"/>
          <w:sz w:val="28"/>
          <w:szCs w:val="28"/>
        </w:rPr>
        <w:t xml:space="preserve"> учитыва</w:t>
      </w:r>
      <w:r w:rsidR="005E4102">
        <w:rPr>
          <w:rFonts w:ascii="Times New Roman" w:hAnsi="Times New Roman" w:cs="Times New Roman"/>
          <w:sz w:val="28"/>
          <w:szCs w:val="28"/>
        </w:rPr>
        <w:t>лись</w:t>
      </w:r>
      <w:r w:rsidRPr="00C8109D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33167">
        <w:rPr>
          <w:rFonts w:ascii="Times New Roman" w:hAnsi="Times New Roman" w:cs="Times New Roman"/>
          <w:sz w:val="28"/>
          <w:szCs w:val="28"/>
        </w:rPr>
        <w:t>ие условия:</w:t>
      </w:r>
    </w:p>
    <w:p w:rsidR="00C8109D" w:rsidRPr="00C8109D" w:rsidRDefault="00C8109D" w:rsidP="004A7798">
      <w:pPr>
        <w:pStyle w:val="a4"/>
        <w:tabs>
          <w:tab w:val="left" w:pos="567"/>
        </w:tabs>
        <w:spacing w:after="0" w:line="360" w:lineRule="auto"/>
        <w:ind w:left="0" w:right="-1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- конкретный учитель принимает участие в </w:t>
      </w:r>
      <w:r w:rsidR="005E4102">
        <w:rPr>
          <w:rFonts w:ascii="Times New Roman" w:hAnsi="Times New Roman" w:cs="Times New Roman"/>
          <w:sz w:val="28"/>
          <w:szCs w:val="28"/>
        </w:rPr>
        <w:t>исследовании</w:t>
      </w:r>
      <w:r w:rsidRPr="00C8109D">
        <w:rPr>
          <w:rFonts w:ascii="Times New Roman" w:hAnsi="Times New Roman" w:cs="Times New Roman"/>
          <w:sz w:val="28"/>
          <w:szCs w:val="28"/>
        </w:rPr>
        <w:t xml:space="preserve"> только по тем учебным предметам, которые он преподаёт (один или несколько учебный предмет); </w:t>
      </w:r>
    </w:p>
    <w:p w:rsidR="00C8109D" w:rsidRPr="00C8109D" w:rsidRDefault="00C8109D" w:rsidP="004A7798">
      <w:pPr>
        <w:pStyle w:val="a4"/>
        <w:tabs>
          <w:tab w:val="left" w:pos="567"/>
        </w:tabs>
        <w:spacing w:after="0" w:line="360" w:lineRule="auto"/>
        <w:ind w:left="0" w:right="-1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- выбор учебного предмета осуществляется по согласованию с учителем; </w:t>
      </w:r>
    </w:p>
    <w:p w:rsidR="00C8109D" w:rsidRPr="00C8109D" w:rsidRDefault="00C8109D" w:rsidP="004A7798">
      <w:pPr>
        <w:pStyle w:val="a4"/>
        <w:tabs>
          <w:tab w:val="left" w:pos="567"/>
        </w:tabs>
        <w:spacing w:after="0" w:line="360" w:lineRule="auto"/>
        <w:ind w:left="0" w:right="-1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- участник исследования должен иметь опыт преподавания выбранных учебных предметов не менее одного года (по состоянию на момент мониторинга). </w:t>
      </w:r>
    </w:p>
    <w:p w:rsidR="00C8109D" w:rsidRPr="00C8109D" w:rsidRDefault="00C8109D" w:rsidP="004A7798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>Диагностическая работа для оценки предметных и методических компетенций педагогических работников состо</w:t>
      </w:r>
      <w:r w:rsidR="005E4102">
        <w:rPr>
          <w:rFonts w:ascii="Times New Roman" w:hAnsi="Times New Roman" w:cs="Times New Roman"/>
          <w:sz w:val="28"/>
          <w:szCs w:val="28"/>
        </w:rPr>
        <w:t>яла</w:t>
      </w:r>
      <w:r w:rsidRPr="00C8109D">
        <w:rPr>
          <w:rFonts w:ascii="Times New Roman" w:hAnsi="Times New Roman" w:cs="Times New Roman"/>
          <w:sz w:val="28"/>
          <w:szCs w:val="28"/>
        </w:rPr>
        <w:t xml:space="preserve"> из двух частей: </w:t>
      </w:r>
    </w:p>
    <w:p w:rsidR="00C8109D" w:rsidRPr="00C8109D" w:rsidRDefault="001B0432" w:rsidP="004A7798">
      <w:pPr>
        <w:spacing w:after="0" w:line="36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109D" w:rsidRPr="00C8109D">
        <w:rPr>
          <w:rFonts w:ascii="Times New Roman" w:hAnsi="Times New Roman" w:cs="Times New Roman"/>
          <w:sz w:val="28"/>
          <w:szCs w:val="28"/>
        </w:rPr>
        <w:t xml:space="preserve"> часть 1 </w:t>
      </w:r>
      <w:r w:rsidR="005508AA">
        <w:rPr>
          <w:rFonts w:ascii="Times New Roman" w:hAnsi="Times New Roman" w:cs="Times New Roman"/>
          <w:sz w:val="28"/>
          <w:szCs w:val="28"/>
        </w:rPr>
        <w:t xml:space="preserve">(15 заданий) </w:t>
      </w:r>
      <w:r w:rsidR="00C8109D" w:rsidRPr="00C8109D">
        <w:rPr>
          <w:rFonts w:ascii="Times New Roman" w:hAnsi="Times New Roman" w:cs="Times New Roman"/>
          <w:sz w:val="28"/>
          <w:szCs w:val="28"/>
        </w:rPr>
        <w:t>представля</w:t>
      </w:r>
      <w:r w:rsidR="005508AA">
        <w:rPr>
          <w:rFonts w:ascii="Times New Roman" w:hAnsi="Times New Roman" w:cs="Times New Roman"/>
          <w:sz w:val="28"/>
          <w:szCs w:val="28"/>
        </w:rPr>
        <w:t>ла</w:t>
      </w:r>
      <w:r w:rsidR="00C8109D" w:rsidRPr="00C8109D">
        <w:rPr>
          <w:rFonts w:ascii="Times New Roman" w:hAnsi="Times New Roman" w:cs="Times New Roman"/>
          <w:sz w:val="28"/>
          <w:szCs w:val="28"/>
        </w:rPr>
        <w:t xml:space="preserve"> собой тест с единичным или множественным выбором ответов </w:t>
      </w:r>
      <w:r w:rsidR="005508A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508AA" w:rsidRPr="00C8109D">
        <w:rPr>
          <w:rFonts w:ascii="Times New Roman" w:hAnsi="Times New Roman" w:cs="Times New Roman"/>
          <w:sz w:val="28"/>
          <w:szCs w:val="28"/>
        </w:rPr>
        <w:t>содержани</w:t>
      </w:r>
      <w:r w:rsidR="005508AA">
        <w:rPr>
          <w:rFonts w:ascii="Times New Roman" w:hAnsi="Times New Roman" w:cs="Times New Roman"/>
          <w:sz w:val="28"/>
          <w:szCs w:val="28"/>
        </w:rPr>
        <w:t>я</w:t>
      </w:r>
      <w:r w:rsidR="005508AA" w:rsidRPr="00C8109D">
        <w:rPr>
          <w:rFonts w:ascii="Times New Roman" w:hAnsi="Times New Roman" w:cs="Times New Roman"/>
          <w:sz w:val="28"/>
          <w:szCs w:val="28"/>
        </w:rPr>
        <w:t xml:space="preserve"> учебного предмета</w:t>
      </w:r>
      <w:r w:rsidR="005508AA">
        <w:rPr>
          <w:rFonts w:ascii="Times New Roman" w:hAnsi="Times New Roman" w:cs="Times New Roman"/>
          <w:sz w:val="28"/>
          <w:szCs w:val="28"/>
        </w:rPr>
        <w:t>;</w:t>
      </w:r>
    </w:p>
    <w:p w:rsidR="00C8109D" w:rsidRPr="00C8109D" w:rsidRDefault="001B0432" w:rsidP="004A7798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09D" w:rsidRPr="00C8109D">
        <w:rPr>
          <w:rFonts w:ascii="Times New Roman" w:hAnsi="Times New Roman" w:cs="Times New Roman"/>
          <w:sz w:val="28"/>
          <w:szCs w:val="28"/>
        </w:rPr>
        <w:t>часть 2 содерж</w:t>
      </w:r>
      <w:r w:rsidR="005508AA">
        <w:rPr>
          <w:rFonts w:ascii="Times New Roman" w:hAnsi="Times New Roman" w:cs="Times New Roman"/>
          <w:sz w:val="28"/>
          <w:szCs w:val="28"/>
        </w:rPr>
        <w:t>ала три задания в форме кейса д</w:t>
      </w:r>
      <w:r w:rsidR="00C8109D" w:rsidRPr="00C8109D">
        <w:rPr>
          <w:rFonts w:ascii="Times New Roman" w:hAnsi="Times New Roman" w:cs="Times New Roman"/>
          <w:sz w:val="28"/>
          <w:szCs w:val="28"/>
        </w:rPr>
        <w:t>ля оценки методических компетенций.</w:t>
      </w:r>
    </w:p>
    <w:p w:rsidR="00C8109D" w:rsidRDefault="00C8109D" w:rsidP="004A7798">
      <w:pPr>
        <w:pStyle w:val="a4"/>
        <w:tabs>
          <w:tab w:val="left" w:pos="567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>За решение заданий диагностической работы учителям начисля</w:t>
      </w:r>
      <w:r w:rsidR="00346975">
        <w:rPr>
          <w:rFonts w:ascii="Times New Roman" w:hAnsi="Times New Roman" w:cs="Times New Roman"/>
          <w:sz w:val="28"/>
          <w:szCs w:val="28"/>
        </w:rPr>
        <w:t>лись</w:t>
      </w:r>
      <w:r w:rsidRPr="00C8109D">
        <w:rPr>
          <w:rFonts w:ascii="Times New Roman" w:hAnsi="Times New Roman" w:cs="Times New Roman"/>
          <w:sz w:val="28"/>
          <w:szCs w:val="28"/>
        </w:rPr>
        <w:t xml:space="preserve"> баллы, которые суммир</w:t>
      </w:r>
      <w:r w:rsidR="00346975">
        <w:rPr>
          <w:rFonts w:ascii="Times New Roman" w:hAnsi="Times New Roman" w:cs="Times New Roman"/>
          <w:sz w:val="28"/>
          <w:szCs w:val="28"/>
        </w:rPr>
        <w:t>овались по итогам выполнения первой и второй части работы</w:t>
      </w:r>
      <w:r w:rsidRPr="00C8109D">
        <w:rPr>
          <w:rFonts w:ascii="Times New Roman" w:hAnsi="Times New Roman" w:cs="Times New Roman"/>
          <w:sz w:val="28"/>
          <w:szCs w:val="28"/>
        </w:rPr>
        <w:t>.</w:t>
      </w:r>
    </w:p>
    <w:p w:rsidR="009503EC" w:rsidRPr="009503EC" w:rsidRDefault="009503EC" w:rsidP="004A7798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3EC">
        <w:rPr>
          <w:rFonts w:ascii="Times New Roman" w:hAnsi="Times New Roman" w:cs="Times New Roman"/>
          <w:b/>
          <w:sz w:val="28"/>
          <w:szCs w:val="28"/>
        </w:rPr>
        <w:lastRenderedPageBreak/>
        <w:t>Анализ состава участников исследования</w:t>
      </w:r>
    </w:p>
    <w:p w:rsidR="001B0432" w:rsidRDefault="005508AA" w:rsidP="004A7798">
      <w:pPr>
        <w:pStyle w:val="a4"/>
        <w:tabs>
          <w:tab w:val="left" w:pos="567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9503EC">
        <w:rPr>
          <w:rFonts w:ascii="Times New Roman" w:hAnsi="Times New Roman" w:cs="Times New Roman"/>
          <w:sz w:val="28"/>
          <w:szCs w:val="28"/>
        </w:rPr>
        <w:t xml:space="preserve">в исследовании предметных и методических компетенций </w:t>
      </w:r>
      <w:r w:rsidR="00346975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346975" w:rsidRPr="00C8109D">
        <w:rPr>
          <w:rFonts w:ascii="Times New Roman" w:hAnsi="Times New Roman" w:cs="Times New Roman"/>
          <w:sz w:val="28"/>
          <w:szCs w:val="28"/>
        </w:rPr>
        <w:t>Амурской области</w:t>
      </w:r>
      <w:r w:rsidR="00346975" w:rsidRPr="00C810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975" w:rsidRPr="00C8109D">
        <w:rPr>
          <w:rFonts w:ascii="Times New Roman" w:hAnsi="Times New Roman" w:cs="Times New Roman"/>
          <w:sz w:val="28"/>
          <w:szCs w:val="28"/>
        </w:rPr>
        <w:t xml:space="preserve">в школах с низкими результатами обучения </w:t>
      </w:r>
      <w:r>
        <w:rPr>
          <w:rFonts w:ascii="Times New Roman" w:hAnsi="Times New Roman" w:cs="Times New Roman"/>
          <w:sz w:val="28"/>
          <w:szCs w:val="28"/>
        </w:rPr>
        <w:t xml:space="preserve">в общей сложности приняли участие </w:t>
      </w:r>
      <w:r w:rsidR="001B0432">
        <w:rPr>
          <w:rFonts w:ascii="Times New Roman" w:hAnsi="Times New Roman" w:cs="Times New Roman"/>
          <w:sz w:val="28"/>
          <w:szCs w:val="28"/>
        </w:rPr>
        <w:t>42</w:t>
      </w:r>
      <w:r w:rsidR="00F22B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учителя из</w:t>
      </w:r>
      <w:r w:rsidR="00F12D24">
        <w:rPr>
          <w:rFonts w:ascii="Times New Roman" w:hAnsi="Times New Roman" w:cs="Times New Roman"/>
          <w:sz w:val="28"/>
          <w:szCs w:val="28"/>
        </w:rPr>
        <w:t xml:space="preserve"> </w:t>
      </w:r>
      <w:r w:rsidR="00F22BA7">
        <w:rPr>
          <w:rFonts w:ascii="Times New Roman" w:hAnsi="Times New Roman" w:cs="Times New Roman"/>
          <w:sz w:val="28"/>
          <w:szCs w:val="28"/>
        </w:rPr>
        <w:t>7</w:t>
      </w:r>
      <w:r w:rsidR="00BC04AE">
        <w:rPr>
          <w:rFonts w:ascii="Times New Roman" w:hAnsi="Times New Roman" w:cs="Times New Roman"/>
          <w:sz w:val="28"/>
          <w:szCs w:val="28"/>
        </w:rPr>
        <w:t>2</w:t>
      </w:r>
      <w:r w:rsidR="00F22BA7">
        <w:rPr>
          <w:rFonts w:ascii="Times New Roman" w:hAnsi="Times New Roman" w:cs="Times New Roman"/>
          <w:sz w:val="28"/>
          <w:szCs w:val="28"/>
        </w:rPr>
        <w:t xml:space="preserve"> школ </w:t>
      </w:r>
      <w:r w:rsidR="00F12D24">
        <w:rPr>
          <w:rFonts w:ascii="Times New Roman" w:hAnsi="Times New Roman" w:cs="Times New Roman"/>
          <w:sz w:val="28"/>
          <w:szCs w:val="28"/>
        </w:rPr>
        <w:t>2</w:t>
      </w:r>
      <w:r w:rsidR="005E564C">
        <w:rPr>
          <w:rFonts w:ascii="Times New Roman" w:hAnsi="Times New Roman" w:cs="Times New Roman"/>
          <w:sz w:val="28"/>
          <w:szCs w:val="28"/>
        </w:rPr>
        <w:t>2-х</w:t>
      </w:r>
      <w:r w:rsidR="00F12D2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E564C">
        <w:rPr>
          <w:rFonts w:ascii="Times New Roman" w:hAnsi="Times New Roman" w:cs="Times New Roman"/>
          <w:sz w:val="28"/>
          <w:szCs w:val="28"/>
        </w:rPr>
        <w:t>ых</w:t>
      </w:r>
      <w:r w:rsidR="00F12D24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5E564C">
        <w:rPr>
          <w:rFonts w:ascii="Times New Roman" w:hAnsi="Times New Roman" w:cs="Times New Roman"/>
          <w:sz w:val="28"/>
          <w:szCs w:val="28"/>
        </w:rPr>
        <w:t>й</w:t>
      </w:r>
      <w:r w:rsidR="00F22BA7">
        <w:rPr>
          <w:rFonts w:ascii="Times New Roman" w:hAnsi="Times New Roman" w:cs="Times New Roman"/>
          <w:sz w:val="28"/>
          <w:szCs w:val="28"/>
        </w:rPr>
        <w:t>. Н</w:t>
      </w:r>
      <w:r w:rsidR="00F12D24">
        <w:rPr>
          <w:rFonts w:ascii="Times New Roman" w:hAnsi="Times New Roman" w:cs="Times New Roman"/>
          <w:sz w:val="28"/>
          <w:szCs w:val="28"/>
        </w:rPr>
        <w:t>е приняли участие учителя</w:t>
      </w:r>
      <w:r w:rsidR="00F22BA7">
        <w:rPr>
          <w:rFonts w:ascii="Times New Roman" w:hAnsi="Times New Roman" w:cs="Times New Roman"/>
          <w:sz w:val="28"/>
          <w:szCs w:val="28"/>
        </w:rPr>
        <w:t xml:space="preserve"> школ </w:t>
      </w:r>
      <w:r w:rsidR="00F12D24">
        <w:rPr>
          <w:rFonts w:ascii="Times New Roman" w:hAnsi="Times New Roman" w:cs="Times New Roman"/>
          <w:sz w:val="28"/>
          <w:szCs w:val="28"/>
        </w:rPr>
        <w:t xml:space="preserve">Благовещенского </w:t>
      </w:r>
      <w:r w:rsidR="00F22BA7">
        <w:rPr>
          <w:rFonts w:ascii="Times New Roman" w:hAnsi="Times New Roman" w:cs="Times New Roman"/>
          <w:sz w:val="28"/>
          <w:szCs w:val="28"/>
        </w:rPr>
        <w:t xml:space="preserve">(МАОУ Марковская СОШ, МОБУ 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Грибская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СОШ, МОБУ 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Гродековская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СОШ), 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Ромненского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(МОБУ «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Хохлатская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СОШ») и 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Свободненского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(МОБУ «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Костюковская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СОШ», МОУ «Новгородская СОШ им. 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В.Н.Лесина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>», МОУ «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Сычёвская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СОШ», МОКУ «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Москвитинская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СОШ», МОУ «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Орлинская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СОШ», МОУ «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Новоивановская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СОШ») районов.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BA7">
        <w:rPr>
          <w:rFonts w:ascii="Times New Roman" w:hAnsi="Times New Roman" w:cs="Times New Roman"/>
          <w:sz w:val="28"/>
          <w:szCs w:val="28"/>
        </w:rPr>
        <w:t xml:space="preserve">Не приняли участие также отдельные школы отдельных районов: МОБУ «СОШ 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с.Черемхово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» Ивановского района, МОБУ 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Увальская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СОШ, МОБУ 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Белояровская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СОШ, МОБУ 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Сапроновская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Мазановского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района, МОУ «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Зеленоборская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СОШ» Михайловского района, МБОУ «СОШ 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с.Екатеринославка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>» Октябрьского района, МБОУ Толстовская СОШ Тамбовского района, МОКУ «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Чильчинская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СОШ», МОАУ «</w:t>
      </w:r>
      <w:proofErr w:type="spellStart"/>
      <w:r w:rsidR="00F22BA7">
        <w:rPr>
          <w:rFonts w:ascii="Times New Roman" w:hAnsi="Times New Roman" w:cs="Times New Roman"/>
          <w:sz w:val="28"/>
          <w:szCs w:val="28"/>
        </w:rPr>
        <w:t>Дипкунская</w:t>
      </w:r>
      <w:proofErr w:type="spellEnd"/>
      <w:r w:rsidR="00F22BA7">
        <w:rPr>
          <w:rFonts w:ascii="Times New Roman" w:hAnsi="Times New Roman" w:cs="Times New Roman"/>
          <w:sz w:val="28"/>
          <w:szCs w:val="28"/>
        </w:rPr>
        <w:t xml:space="preserve"> СОШ» Тындинского района</w:t>
      </w:r>
      <w:r w:rsidR="009503EC">
        <w:rPr>
          <w:rFonts w:ascii="Times New Roman" w:hAnsi="Times New Roman" w:cs="Times New Roman"/>
          <w:sz w:val="28"/>
          <w:szCs w:val="28"/>
        </w:rPr>
        <w:t xml:space="preserve"> (всего </w:t>
      </w:r>
      <w:r w:rsidR="00BC04AE">
        <w:rPr>
          <w:rFonts w:ascii="Times New Roman" w:hAnsi="Times New Roman" w:cs="Times New Roman"/>
          <w:sz w:val="28"/>
          <w:szCs w:val="28"/>
        </w:rPr>
        <w:t>9</w:t>
      </w:r>
      <w:r w:rsidR="009503EC">
        <w:rPr>
          <w:rFonts w:ascii="Times New Roman" w:hAnsi="Times New Roman" w:cs="Times New Roman"/>
          <w:sz w:val="28"/>
          <w:szCs w:val="28"/>
        </w:rPr>
        <w:t xml:space="preserve"> школ).</w:t>
      </w:r>
      <w:r w:rsidR="00F22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419" w:rsidRDefault="00925419" w:rsidP="004A7798">
      <w:pPr>
        <w:pStyle w:val="a4"/>
        <w:tabs>
          <w:tab w:val="left" w:pos="567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числа участников исследования количество учителей русского языка – 13</w:t>
      </w:r>
      <w:r w:rsidR="005E564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учителей математики – 1</w:t>
      </w:r>
      <w:r w:rsidR="005E564C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, учителей обществознания – 78, учителей биологии – 5</w:t>
      </w:r>
      <w:r w:rsidR="005E564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учителей химии – 4</w:t>
      </w:r>
      <w:r w:rsidR="005E56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E564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ис. 1). </w:t>
      </w:r>
    </w:p>
    <w:p w:rsidR="00925419" w:rsidRDefault="007B01A1" w:rsidP="005E564C">
      <w:pPr>
        <w:pStyle w:val="a4"/>
        <w:tabs>
          <w:tab w:val="left" w:pos="567"/>
        </w:tabs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8342D1" wp14:editId="2EA70E2A">
            <wp:extent cx="4457700" cy="24955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12A54" w:rsidRPr="00F12A54" w:rsidRDefault="00F12A54" w:rsidP="005E564C">
      <w:pPr>
        <w:pStyle w:val="a4"/>
        <w:tabs>
          <w:tab w:val="left" w:pos="567"/>
        </w:tabs>
        <w:spacing w:after="0"/>
        <w:ind w:left="0" w:right="-1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F12A54">
        <w:rPr>
          <w:rFonts w:ascii="Times New Roman" w:hAnsi="Times New Roman" w:cs="Times New Roman"/>
          <w:i/>
          <w:sz w:val="24"/>
          <w:szCs w:val="28"/>
        </w:rPr>
        <w:t>Рис. 1. Участники исследования предметных и методических компетенций</w:t>
      </w:r>
    </w:p>
    <w:p w:rsidR="004A7798" w:rsidRDefault="004A7798" w:rsidP="005E564C">
      <w:pPr>
        <w:pStyle w:val="a4"/>
        <w:tabs>
          <w:tab w:val="left" w:pos="567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A54" w:rsidRDefault="00F12A54" w:rsidP="005E564C">
      <w:pPr>
        <w:pStyle w:val="a4"/>
        <w:tabs>
          <w:tab w:val="left" w:pos="567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целом распределение участников по учебным предметам соответствует соотношению общего количества учителей-предметников в образовательной организации в отдельности и по области в целом. Это свидетельствует о репрезентативности исследования.</w:t>
      </w:r>
    </w:p>
    <w:p w:rsidR="00BC04AE" w:rsidRDefault="00BC04AE" w:rsidP="005E564C">
      <w:pPr>
        <w:pStyle w:val="a4"/>
        <w:tabs>
          <w:tab w:val="left" w:pos="567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участников исследования по возрасту и стажу разнообразный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65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E564C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аблица 1, рис.</w:t>
      </w:r>
      <w:r w:rsidR="00F12A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10026" w:rsidRDefault="00110026" w:rsidP="005E564C">
      <w:pPr>
        <w:pStyle w:val="a4"/>
        <w:tabs>
          <w:tab w:val="left" w:pos="567"/>
        </w:tabs>
        <w:spacing w:after="0"/>
        <w:ind w:left="0" w:right="-1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110026" w:rsidRPr="00110026" w:rsidRDefault="00110026" w:rsidP="005E564C">
      <w:pPr>
        <w:pStyle w:val="a4"/>
        <w:tabs>
          <w:tab w:val="left" w:pos="567"/>
        </w:tabs>
        <w:spacing w:after="0"/>
        <w:ind w:left="0" w:right="-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0026">
        <w:rPr>
          <w:rFonts w:ascii="Times New Roman" w:hAnsi="Times New Roman" w:cs="Times New Roman"/>
          <w:i/>
          <w:sz w:val="28"/>
          <w:szCs w:val="28"/>
        </w:rPr>
        <w:t>Распределение участников по стажу работы учителей-предметнико</w:t>
      </w:r>
      <w:r w:rsidR="00F12A54">
        <w:rPr>
          <w:rFonts w:ascii="Times New Roman" w:hAnsi="Times New Roman" w:cs="Times New Roman"/>
          <w:i/>
          <w:sz w:val="28"/>
          <w:szCs w:val="28"/>
        </w:rPr>
        <w:t>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2693"/>
      </w:tblGrid>
      <w:tr w:rsidR="00BC04AE" w:rsidTr="00BC04AE">
        <w:tc>
          <w:tcPr>
            <w:tcW w:w="534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участников</w:t>
            </w:r>
          </w:p>
        </w:tc>
        <w:tc>
          <w:tcPr>
            <w:tcW w:w="3119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693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участников в%</w:t>
            </w:r>
          </w:p>
        </w:tc>
      </w:tr>
      <w:tr w:rsidR="00BC04AE" w:rsidTr="00BC04AE">
        <w:tc>
          <w:tcPr>
            <w:tcW w:w="534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года</w:t>
            </w:r>
          </w:p>
        </w:tc>
        <w:tc>
          <w:tcPr>
            <w:tcW w:w="3119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7,5%</w:t>
            </w:r>
          </w:p>
        </w:tc>
      </w:tr>
      <w:tr w:rsidR="00BC04AE" w:rsidTr="00BC04AE">
        <w:tc>
          <w:tcPr>
            <w:tcW w:w="534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3119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8,6%</w:t>
            </w:r>
          </w:p>
        </w:tc>
      </w:tr>
      <w:tr w:rsidR="00BC04AE" w:rsidTr="00BC04AE">
        <w:tc>
          <w:tcPr>
            <w:tcW w:w="534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</w:t>
            </w:r>
          </w:p>
        </w:tc>
        <w:tc>
          <w:tcPr>
            <w:tcW w:w="3119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12,6%</w:t>
            </w:r>
          </w:p>
        </w:tc>
      </w:tr>
      <w:tr w:rsidR="00BC04AE" w:rsidTr="00BC04AE">
        <w:tc>
          <w:tcPr>
            <w:tcW w:w="534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11-20 лет</w:t>
            </w:r>
          </w:p>
        </w:tc>
        <w:tc>
          <w:tcPr>
            <w:tcW w:w="3119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15,8%</w:t>
            </w:r>
          </w:p>
        </w:tc>
      </w:tr>
      <w:tr w:rsidR="00BC04AE" w:rsidTr="00BC04AE">
        <w:tc>
          <w:tcPr>
            <w:tcW w:w="534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21-30 лет</w:t>
            </w:r>
          </w:p>
        </w:tc>
        <w:tc>
          <w:tcPr>
            <w:tcW w:w="3119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23,3%</w:t>
            </w:r>
          </w:p>
        </w:tc>
      </w:tr>
      <w:tr w:rsidR="00BC04AE" w:rsidTr="00BC04AE">
        <w:tc>
          <w:tcPr>
            <w:tcW w:w="534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31-40 лет</w:t>
            </w:r>
          </w:p>
        </w:tc>
        <w:tc>
          <w:tcPr>
            <w:tcW w:w="3119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693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24,5%</w:t>
            </w:r>
          </w:p>
        </w:tc>
      </w:tr>
      <w:tr w:rsidR="00BC04AE" w:rsidTr="00BC04AE">
        <w:tc>
          <w:tcPr>
            <w:tcW w:w="534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41-57 лет</w:t>
            </w:r>
          </w:p>
        </w:tc>
        <w:tc>
          <w:tcPr>
            <w:tcW w:w="3119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BC04AE" w:rsidRDefault="00BC04AE" w:rsidP="005E564C">
            <w:pPr>
              <w:pStyle w:val="a4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7,7%</w:t>
            </w:r>
          </w:p>
        </w:tc>
      </w:tr>
    </w:tbl>
    <w:p w:rsidR="00BC04AE" w:rsidRPr="00C8109D" w:rsidRDefault="00BC04AE" w:rsidP="005E564C">
      <w:pPr>
        <w:pStyle w:val="a4"/>
        <w:tabs>
          <w:tab w:val="left" w:pos="567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167" w:rsidRDefault="00110026" w:rsidP="005E564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D7361D" wp14:editId="3043D85B">
            <wp:extent cx="4572000" cy="20097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0026" w:rsidRDefault="00B34ED9" w:rsidP="005E564C">
      <w:pPr>
        <w:spacing w:after="0"/>
        <w:ind w:right="-1"/>
        <w:jc w:val="center"/>
        <w:rPr>
          <w:rFonts w:ascii="Times New Roman" w:eastAsia="Calibri" w:hAnsi="Times New Roman" w:cs="Times New Roman"/>
          <w:i/>
          <w:sz w:val="24"/>
          <w:szCs w:val="28"/>
        </w:rPr>
      </w:pPr>
      <w:r w:rsidRPr="00B34ED9">
        <w:rPr>
          <w:rFonts w:ascii="Times New Roman" w:eastAsia="Calibri" w:hAnsi="Times New Roman" w:cs="Times New Roman"/>
          <w:i/>
          <w:sz w:val="24"/>
          <w:szCs w:val="28"/>
        </w:rPr>
        <w:t xml:space="preserve">Рис. </w:t>
      </w:r>
      <w:r w:rsidR="00F12A54">
        <w:rPr>
          <w:rFonts w:ascii="Times New Roman" w:eastAsia="Calibri" w:hAnsi="Times New Roman" w:cs="Times New Roman"/>
          <w:i/>
          <w:sz w:val="24"/>
          <w:szCs w:val="28"/>
        </w:rPr>
        <w:t>2.</w:t>
      </w:r>
      <w:r w:rsidRPr="00B34ED9">
        <w:rPr>
          <w:rFonts w:ascii="Times New Roman" w:eastAsia="Calibri" w:hAnsi="Times New Roman" w:cs="Times New Roman"/>
          <w:i/>
          <w:sz w:val="24"/>
          <w:szCs w:val="28"/>
        </w:rPr>
        <w:t xml:space="preserve"> Распределение участников по стажу работы учителем-предметником</w:t>
      </w:r>
    </w:p>
    <w:p w:rsidR="00B34ED9" w:rsidRPr="00B34ED9" w:rsidRDefault="00B34ED9" w:rsidP="005E564C">
      <w:pPr>
        <w:spacing w:after="0"/>
        <w:ind w:right="-1"/>
        <w:jc w:val="center"/>
        <w:rPr>
          <w:rFonts w:ascii="Times New Roman" w:eastAsia="Calibri" w:hAnsi="Times New Roman" w:cs="Times New Roman"/>
          <w:i/>
          <w:sz w:val="24"/>
          <w:szCs w:val="28"/>
        </w:rPr>
      </w:pPr>
    </w:p>
    <w:p w:rsidR="00110026" w:rsidRDefault="00110026" w:rsidP="004A7798">
      <w:pPr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 данных таблицы и диаграммы можно сделать вывод, что более 30% учителей, работающих в школах с низкими </w:t>
      </w:r>
      <w:r w:rsidR="00B34ED9">
        <w:rPr>
          <w:rFonts w:ascii="Times New Roman" w:eastAsia="Calibri" w:hAnsi="Times New Roman" w:cs="Times New Roman"/>
          <w:sz w:val="28"/>
          <w:szCs w:val="28"/>
        </w:rPr>
        <w:t>результатами обучения, имеют стаж более 30 лет, следовательно, необходимы соответствующие подходы к стимулированию их профессионального роста.</w:t>
      </w:r>
    </w:p>
    <w:p w:rsidR="00B34ED9" w:rsidRDefault="00420496" w:rsidP="004A7798">
      <w:pPr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состава участников по квалификационным категориям свидетельствует о том, что достаточно большой процент (13,5%) учителей не имеют квалификационную категорию. В основном это молодые педагоги со стажем от года до 4-х лет, но среди этой категории есть и учителя со стажем более 20, 30 и 40 лет. Следовательно, необходимо проводить работу </w:t>
      </w:r>
      <w:r w:rsidR="00573654">
        <w:rPr>
          <w:rFonts w:ascii="Times New Roman" w:eastAsia="Calibri" w:hAnsi="Times New Roman" w:cs="Times New Roman"/>
          <w:sz w:val="28"/>
          <w:szCs w:val="28"/>
        </w:rPr>
        <w:t xml:space="preserve">с данной </w:t>
      </w:r>
      <w:r w:rsidR="005736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категорией учителей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привлечению </w:t>
      </w:r>
      <w:r w:rsidR="00573654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процедуре аттестации. В общем, доля педагогов первой и высшей категории достаточно высокая</w:t>
      </w:r>
      <w:r w:rsidR="00573654">
        <w:rPr>
          <w:rFonts w:ascii="Times New Roman" w:eastAsia="Calibri" w:hAnsi="Times New Roman" w:cs="Times New Roman"/>
          <w:sz w:val="28"/>
          <w:szCs w:val="28"/>
        </w:rPr>
        <w:t xml:space="preserve"> (53,7%)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уровне средних показателей по области, что является залогом хорошего профессионального потенциала </w:t>
      </w:r>
      <w:r w:rsidR="005E564C">
        <w:rPr>
          <w:rFonts w:ascii="Times New Roman" w:eastAsia="Calibri" w:hAnsi="Times New Roman" w:cs="Times New Roman"/>
          <w:sz w:val="28"/>
          <w:szCs w:val="28"/>
        </w:rPr>
        <w:t>педагогических коллективов школ</w:t>
      </w:r>
      <w:r w:rsidR="0022215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E564C">
        <w:rPr>
          <w:rFonts w:ascii="Times New Roman" w:eastAsia="Calibri" w:hAnsi="Times New Roman" w:cs="Times New Roman"/>
          <w:sz w:val="28"/>
          <w:szCs w:val="28"/>
        </w:rPr>
        <w:t>р</w:t>
      </w:r>
      <w:r w:rsidR="0022215C">
        <w:rPr>
          <w:rFonts w:ascii="Times New Roman" w:eastAsia="Calibri" w:hAnsi="Times New Roman" w:cs="Times New Roman"/>
          <w:sz w:val="28"/>
          <w:szCs w:val="28"/>
        </w:rPr>
        <w:t xml:space="preserve">ис. </w:t>
      </w:r>
      <w:r w:rsidR="00F12A54">
        <w:rPr>
          <w:rFonts w:ascii="Times New Roman" w:eastAsia="Calibri" w:hAnsi="Times New Roman" w:cs="Times New Roman"/>
          <w:sz w:val="28"/>
          <w:szCs w:val="28"/>
        </w:rPr>
        <w:t>3</w:t>
      </w:r>
      <w:r w:rsidR="0022215C">
        <w:rPr>
          <w:rFonts w:ascii="Times New Roman" w:eastAsia="Calibri" w:hAnsi="Times New Roman" w:cs="Times New Roman"/>
          <w:sz w:val="28"/>
          <w:szCs w:val="28"/>
        </w:rPr>
        <w:t>)</w:t>
      </w:r>
      <w:r w:rsidR="005E56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215C" w:rsidRDefault="0022215C" w:rsidP="005E564C">
      <w:pPr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CFE6D0" wp14:editId="03D6858B">
            <wp:extent cx="4572000" cy="19145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2215C" w:rsidRDefault="0022215C" w:rsidP="005E564C">
      <w:pPr>
        <w:spacing w:after="0"/>
        <w:ind w:right="-1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22215C">
        <w:rPr>
          <w:rFonts w:ascii="Times New Roman" w:hAnsi="Times New Roman" w:cs="Times New Roman"/>
          <w:i/>
          <w:sz w:val="24"/>
          <w:szCs w:val="28"/>
        </w:rPr>
        <w:t xml:space="preserve">Рис. </w:t>
      </w:r>
      <w:r w:rsidR="00F12A54">
        <w:rPr>
          <w:rFonts w:ascii="Times New Roman" w:hAnsi="Times New Roman" w:cs="Times New Roman"/>
          <w:i/>
          <w:sz w:val="24"/>
          <w:szCs w:val="28"/>
        </w:rPr>
        <w:t>3</w:t>
      </w:r>
      <w:r w:rsidRPr="0022215C">
        <w:rPr>
          <w:rFonts w:ascii="Times New Roman" w:hAnsi="Times New Roman" w:cs="Times New Roman"/>
          <w:i/>
          <w:sz w:val="24"/>
          <w:szCs w:val="28"/>
        </w:rPr>
        <w:t xml:space="preserve">. Распределение участников по </w:t>
      </w:r>
      <w:r w:rsidR="00F12A54">
        <w:rPr>
          <w:rFonts w:ascii="Times New Roman" w:hAnsi="Times New Roman" w:cs="Times New Roman"/>
          <w:i/>
          <w:sz w:val="24"/>
          <w:szCs w:val="28"/>
        </w:rPr>
        <w:t xml:space="preserve">наличию </w:t>
      </w:r>
      <w:r w:rsidRPr="0022215C">
        <w:rPr>
          <w:rFonts w:ascii="Times New Roman" w:hAnsi="Times New Roman" w:cs="Times New Roman"/>
          <w:i/>
          <w:sz w:val="24"/>
          <w:szCs w:val="28"/>
        </w:rPr>
        <w:t>квалификационн</w:t>
      </w:r>
      <w:r w:rsidR="00F12A54">
        <w:rPr>
          <w:rFonts w:ascii="Times New Roman" w:hAnsi="Times New Roman" w:cs="Times New Roman"/>
          <w:i/>
          <w:sz w:val="24"/>
          <w:szCs w:val="28"/>
        </w:rPr>
        <w:t>ым</w:t>
      </w:r>
      <w:r w:rsidRPr="0022215C">
        <w:rPr>
          <w:rFonts w:ascii="Times New Roman" w:hAnsi="Times New Roman" w:cs="Times New Roman"/>
          <w:i/>
          <w:sz w:val="24"/>
          <w:szCs w:val="28"/>
        </w:rPr>
        <w:t xml:space="preserve"> категориям</w:t>
      </w:r>
    </w:p>
    <w:p w:rsidR="00720B94" w:rsidRDefault="00720B94" w:rsidP="005E564C">
      <w:pPr>
        <w:spacing w:after="0"/>
        <w:ind w:right="-1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A7798" w:rsidRDefault="0022215C" w:rsidP="004A7798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учебной нагрузки учителей составляет </w:t>
      </w:r>
      <w:r w:rsidR="000635AC">
        <w:rPr>
          <w:rFonts w:ascii="Times New Roman" w:hAnsi="Times New Roman" w:cs="Times New Roman"/>
          <w:sz w:val="28"/>
          <w:szCs w:val="28"/>
        </w:rPr>
        <w:t xml:space="preserve">в среднем 24 часа, при этом 14% участников </w:t>
      </w:r>
      <w:r w:rsidR="00573654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0635AC">
        <w:rPr>
          <w:rFonts w:ascii="Times New Roman" w:hAnsi="Times New Roman" w:cs="Times New Roman"/>
          <w:sz w:val="28"/>
          <w:szCs w:val="28"/>
        </w:rPr>
        <w:t>ведут нагрузку от 30 до 40 и более часов. Ясно, что при такой нагрузке страдает и сам учитель (ускоряются процессы профессионального выгорания), и качество учебной работы</w:t>
      </w:r>
      <w:r w:rsidR="00720B94">
        <w:rPr>
          <w:rFonts w:ascii="Times New Roman" w:hAnsi="Times New Roman" w:cs="Times New Roman"/>
          <w:sz w:val="28"/>
          <w:szCs w:val="28"/>
        </w:rPr>
        <w:t xml:space="preserve">, поскольку не хватает временного ресурса для выполнения целого ряда функций, связанных с обучением и воспитанием обучающихся. </w:t>
      </w:r>
    </w:p>
    <w:p w:rsidR="00720B94" w:rsidRDefault="00720B94" w:rsidP="004A7798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20% учителей осуществляют внутреннее совмещение, реализуя программы не только смежных учебных дисциплин, но и далёких друг от друга, например: б</w:t>
      </w:r>
      <w:r w:rsidRPr="00720B94">
        <w:rPr>
          <w:rFonts w:ascii="Times New Roman" w:hAnsi="Times New Roman" w:cs="Times New Roman"/>
          <w:sz w:val="28"/>
          <w:szCs w:val="28"/>
        </w:rPr>
        <w:t>иология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технология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музыка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720B94">
        <w:rPr>
          <w:rFonts w:ascii="Times New Roman" w:hAnsi="Times New Roman" w:cs="Times New Roman"/>
          <w:sz w:val="28"/>
          <w:szCs w:val="28"/>
        </w:rPr>
        <w:t>иология</w:t>
      </w:r>
      <w:r>
        <w:rPr>
          <w:rFonts w:ascii="Times New Roman" w:hAnsi="Times New Roman" w:cs="Times New Roman"/>
          <w:sz w:val="28"/>
          <w:szCs w:val="28"/>
        </w:rPr>
        <w:t xml:space="preserve"> – г</w:t>
      </w:r>
      <w:r w:rsidRPr="00720B94">
        <w:rPr>
          <w:rFonts w:ascii="Times New Roman" w:hAnsi="Times New Roman" w:cs="Times New Roman"/>
          <w:sz w:val="28"/>
          <w:szCs w:val="28"/>
        </w:rPr>
        <w:t>еография</w:t>
      </w:r>
      <w:r>
        <w:rPr>
          <w:rFonts w:ascii="Times New Roman" w:hAnsi="Times New Roman" w:cs="Times New Roman"/>
          <w:sz w:val="28"/>
          <w:szCs w:val="28"/>
        </w:rPr>
        <w:t xml:space="preserve"> – и</w:t>
      </w:r>
      <w:r w:rsidRPr="00720B94">
        <w:rPr>
          <w:rFonts w:ascii="Times New Roman" w:hAnsi="Times New Roman" w:cs="Times New Roman"/>
          <w:sz w:val="28"/>
          <w:szCs w:val="28"/>
        </w:rPr>
        <w:t>нформатика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B94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физика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5B01"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B94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музыка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математика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B94"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химия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физика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математика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B94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обществознание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20B94">
        <w:rPr>
          <w:rFonts w:ascii="Times New Roman" w:hAnsi="Times New Roman" w:cs="Times New Roman"/>
          <w:sz w:val="28"/>
          <w:szCs w:val="28"/>
        </w:rPr>
        <w:t xml:space="preserve"> 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ОБЖ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B94">
        <w:rPr>
          <w:rFonts w:ascii="Times New Roman" w:hAnsi="Times New Roman" w:cs="Times New Roman"/>
          <w:sz w:val="28"/>
          <w:szCs w:val="28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биология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музыка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720B94">
        <w:rPr>
          <w:rFonts w:ascii="Times New Roman" w:hAnsi="Times New Roman" w:cs="Times New Roman"/>
          <w:sz w:val="28"/>
          <w:szCs w:val="28"/>
        </w:rPr>
        <w:t>усский язык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литература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20B94">
        <w:rPr>
          <w:rFonts w:ascii="Times New Roman" w:hAnsi="Times New Roman" w:cs="Times New Roman"/>
          <w:sz w:val="28"/>
          <w:szCs w:val="28"/>
        </w:rPr>
        <w:t xml:space="preserve"> английский язык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B94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биология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0B94">
        <w:rPr>
          <w:rFonts w:ascii="Times New Roman" w:hAnsi="Times New Roman" w:cs="Times New Roman"/>
          <w:sz w:val="28"/>
          <w:szCs w:val="28"/>
        </w:rPr>
        <w:t xml:space="preserve"> технология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20B94">
        <w:rPr>
          <w:rFonts w:ascii="Times New Roman" w:hAnsi="Times New Roman" w:cs="Times New Roman"/>
          <w:sz w:val="28"/>
          <w:szCs w:val="28"/>
        </w:rPr>
        <w:t>МХК</w:t>
      </w:r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925419" w:rsidRDefault="00925419" w:rsidP="004A7798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общего количества участников регионального исследования предметных и методических компетенций более 100 человек (25,6%) принимали участие в различного рода диагностиках профессиональных компетенций педагогических работников, в том числе проводимых </w:t>
      </w:r>
      <w:r w:rsidR="00282233" w:rsidRPr="00282233">
        <w:rPr>
          <w:rFonts w:ascii="Times New Roman" w:hAnsi="Times New Roman" w:cs="Times New Roman"/>
          <w:color w:val="12222D"/>
          <w:sz w:val="28"/>
          <w:shd w:val="clear" w:color="auto" w:fill="FFFFFF"/>
        </w:rPr>
        <w:t>ФГАОУ</w:t>
      </w:r>
      <w:r w:rsidR="00282233">
        <w:rPr>
          <w:rFonts w:ascii="Helvetica" w:hAnsi="Helvetica" w:cs="Helvetica"/>
          <w:color w:val="12222D"/>
          <w:shd w:val="clear" w:color="auto" w:fill="FFFFFF"/>
        </w:rPr>
        <w:t xml:space="preserve"> </w:t>
      </w:r>
      <w:r w:rsidR="00282233" w:rsidRPr="00282233">
        <w:rPr>
          <w:rFonts w:ascii="Times New Roman" w:hAnsi="Times New Roman" w:cs="Times New Roman"/>
          <w:color w:val="12222D"/>
          <w:sz w:val="28"/>
          <w:shd w:val="clear" w:color="auto" w:fill="FFFFFF"/>
        </w:rPr>
        <w:lastRenderedPageBreak/>
        <w:t xml:space="preserve">ДПО «Академия </w:t>
      </w:r>
      <w:proofErr w:type="spellStart"/>
      <w:r w:rsidR="00282233" w:rsidRPr="00282233">
        <w:rPr>
          <w:rFonts w:ascii="Times New Roman" w:hAnsi="Times New Roman" w:cs="Times New Roman"/>
          <w:color w:val="12222D"/>
          <w:sz w:val="28"/>
          <w:shd w:val="clear" w:color="auto" w:fill="FFFFFF"/>
        </w:rPr>
        <w:t>Минпросвещения</w:t>
      </w:r>
      <w:proofErr w:type="spellEnd"/>
      <w:r w:rsidR="00282233" w:rsidRPr="00282233">
        <w:rPr>
          <w:rFonts w:ascii="Times New Roman" w:hAnsi="Times New Roman" w:cs="Times New Roman"/>
          <w:color w:val="12222D"/>
          <w:sz w:val="28"/>
          <w:shd w:val="clear" w:color="auto" w:fill="FFFFFF"/>
        </w:rPr>
        <w:t xml:space="preserve"> России»</w:t>
      </w:r>
      <w:r>
        <w:rPr>
          <w:rFonts w:ascii="Times New Roman" w:hAnsi="Times New Roman" w:cs="Times New Roman"/>
          <w:sz w:val="28"/>
          <w:szCs w:val="28"/>
        </w:rPr>
        <w:t>, но при этом посчитали целесообразным принять участие и в региональном мониторинге.</w:t>
      </w:r>
      <w:proofErr w:type="gramEnd"/>
    </w:p>
    <w:p w:rsidR="00925419" w:rsidRDefault="00925419" w:rsidP="005E564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25419" w:rsidRDefault="00925419" w:rsidP="005E564C">
      <w:pPr>
        <w:pStyle w:val="a4"/>
        <w:numPr>
          <w:ilvl w:val="0"/>
          <w:numId w:val="1"/>
        </w:numPr>
        <w:spacing w:after="0"/>
        <w:ind w:left="0" w:right="-1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419">
        <w:rPr>
          <w:rFonts w:ascii="Times New Roman" w:hAnsi="Times New Roman" w:cs="Times New Roman"/>
          <w:b/>
          <w:sz w:val="28"/>
          <w:szCs w:val="28"/>
        </w:rPr>
        <w:t xml:space="preserve">Общие результаты оценки предметных и методических компетенций </w:t>
      </w:r>
      <w:r w:rsidR="0028223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863EAC" w:rsidRPr="00863EAC" w:rsidRDefault="00863EAC" w:rsidP="00282233">
      <w:pPr>
        <w:pStyle w:val="a4"/>
        <w:spacing w:after="0" w:line="36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3EAC">
        <w:rPr>
          <w:rFonts w:ascii="Times New Roman" w:hAnsi="Times New Roman" w:cs="Times New Roman"/>
          <w:sz w:val="28"/>
          <w:szCs w:val="28"/>
        </w:rPr>
        <w:t xml:space="preserve">Средние показатели </w:t>
      </w:r>
      <w:r>
        <w:rPr>
          <w:rFonts w:ascii="Times New Roman" w:hAnsi="Times New Roman" w:cs="Times New Roman"/>
          <w:sz w:val="28"/>
          <w:szCs w:val="28"/>
        </w:rPr>
        <w:t>результатов исследования предметных и методических компетенций педагогических работников Амурской области в школах с низкими результатами обучения варьируется от 60 до 82,4 процента выполнения всех заданий. Наиболее высокие результаты показали учителя русского языка и литературы, нижний уровень качества выполнения работ у учителей химии (</w:t>
      </w:r>
      <w:r w:rsidR="005E564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ис. 4). Более подробный анализ результатов выполнения диагностических работ учителями отдельных учебных предметов представлен в приложениях.</w:t>
      </w:r>
    </w:p>
    <w:p w:rsidR="00925419" w:rsidRDefault="00863EAC" w:rsidP="005E564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CDE004" wp14:editId="1017CDFA">
            <wp:extent cx="4572000" cy="28384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63EAC" w:rsidRPr="009645CB" w:rsidRDefault="00863EAC" w:rsidP="005E564C">
      <w:pPr>
        <w:spacing w:after="0"/>
        <w:ind w:right="-1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9645CB">
        <w:rPr>
          <w:rFonts w:ascii="Times New Roman" w:hAnsi="Times New Roman" w:cs="Times New Roman"/>
          <w:i/>
          <w:sz w:val="24"/>
          <w:szCs w:val="28"/>
        </w:rPr>
        <w:t xml:space="preserve">Рис. 4. Общие результаты выполнения </w:t>
      </w:r>
      <w:r w:rsidR="009645CB" w:rsidRPr="009645CB">
        <w:rPr>
          <w:rFonts w:ascii="Times New Roman" w:hAnsi="Times New Roman" w:cs="Times New Roman"/>
          <w:i/>
          <w:sz w:val="24"/>
          <w:szCs w:val="28"/>
        </w:rPr>
        <w:t>диагностической работы</w:t>
      </w:r>
    </w:p>
    <w:p w:rsidR="009645CB" w:rsidRDefault="009645CB" w:rsidP="0028223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результативности выполнения работы по частям свидетельствует о том, что учителя лучше владеют предметными компетенциями. Наряду с этим, учитывая, что задания на оценку предметных компетенций не выходили за рамки школьной учебной программы, можно сделать вывод о том, что не все учителя </w:t>
      </w:r>
      <w:r w:rsidR="00282233">
        <w:rPr>
          <w:rFonts w:ascii="Times New Roman" w:hAnsi="Times New Roman" w:cs="Times New Roman"/>
          <w:sz w:val="28"/>
          <w:szCs w:val="28"/>
        </w:rPr>
        <w:t>в полной мере владею предметным содержанием программ преподаваемого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E564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ис. 5).</w:t>
      </w:r>
    </w:p>
    <w:p w:rsidR="009645CB" w:rsidRDefault="009645CB" w:rsidP="005E564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C459F19" wp14:editId="15F57387">
            <wp:extent cx="4572000" cy="26860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645CB" w:rsidRDefault="009645CB" w:rsidP="005E564C">
      <w:pPr>
        <w:spacing w:after="0"/>
        <w:ind w:right="-1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9645CB">
        <w:rPr>
          <w:rFonts w:ascii="Times New Roman" w:hAnsi="Times New Roman" w:cs="Times New Roman"/>
          <w:i/>
          <w:sz w:val="24"/>
          <w:szCs w:val="28"/>
        </w:rPr>
        <w:t>Рис. 5. Средний показатель качества выполнения заданий на оценку предметных компетенций</w:t>
      </w:r>
    </w:p>
    <w:p w:rsidR="009645CB" w:rsidRPr="004B2D29" w:rsidRDefault="004B2D29" w:rsidP="0028223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D29">
        <w:rPr>
          <w:rFonts w:ascii="Times New Roman" w:hAnsi="Times New Roman" w:cs="Times New Roman"/>
          <w:sz w:val="28"/>
          <w:szCs w:val="28"/>
        </w:rPr>
        <w:t xml:space="preserve">Качество выполнения заданий на оценку методических компетенций </w:t>
      </w:r>
      <w:r>
        <w:rPr>
          <w:rFonts w:ascii="Times New Roman" w:hAnsi="Times New Roman" w:cs="Times New Roman"/>
          <w:sz w:val="28"/>
          <w:szCs w:val="28"/>
        </w:rPr>
        <w:t>свидетельствует о том, что многие учителя затрудняются</w:t>
      </w:r>
      <w:r w:rsidR="005E564C">
        <w:rPr>
          <w:rFonts w:ascii="Times New Roman" w:hAnsi="Times New Roman" w:cs="Times New Roman"/>
          <w:sz w:val="28"/>
          <w:szCs w:val="28"/>
        </w:rPr>
        <w:t xml:space="preserve"> в выборе границ ответа в соответствии с заданием, в выборе конкретных методических приёмов работы с детьми с разными образовательными возможностями и потребностями в условиях классно-урочной системы,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64C">
        <w:rPr>
          <w:rFonts w:ascii="Times New Roman" w:hAnsi="Times New Roman" w:cs="Times New Roman"/>
          <w:sz w:val="28"/>
          <w:szCs w:val="28"/>
        </w:rPr>
        <w:t>в оценке результатов обучения на основе выполненной обучающимся работы (рис. 6)</w:t>
      </w:r>
      <w:proofErr w:type="gramEnd"/>
    </w:p>
    <w:p w:rsidR="009645CB" w:rsidRDefault="009645CB" w:rsidP="005E564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5DB5AC" wp14:editId="1A0F40BB">
            <wp:extent cx="4572000" cy="25050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645CB" w:rsidRDefault="005E564C" w:rsidP="005E564C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95D3E">
        <w:rPr>
          <w:rFonts w:ascii="Times New Roman" w:hAnsi="Times New Roman" w:cs="Times New Roman"/>
          <w:i/>
          <w:sz w:val="24"/>
          <w:szCs w:val="28"/>
        </w:rPr>
        <w:t>Рис. 6.</w:t>
      </w:r>
      <w:r w:rsidRPr="00095D3E">
        <w:rPr>
          <w:rFonts w:ascii="Times New Roman" w:hAnsi="Times New Roman" w:cs="Times New Roman"/>
          <w:sz w:val="24"/>
          <w:szCs w:val="28"/>
        </w:rPr>
        <w:t xml:space="preserve"> </w:t>
      </w:r>
      <w:r w:rsidR="00095D3E" w:rsidRPr="009645CB">
        <w:rPr>
          <w:rFonts w:ascii="Times New Roman" w:hAnsi="Times New Roman" w:cs="Times New Roman"/>
          <w:i/>
          <w:sz w:val="24"/>
          <w:szCs w:val="28"/>
        </w:rPr>
        <w:t>Средний показатель качества выполнения заданий на оценку предметных компетенций</w:t>
      </w:r>
    </w:p>
    <w:p w:rsidR="00095D3E" w:rsidRDefault="00095D3E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эксперты отмечают удовлетворительный уровень предметных компетенций подавляющего большинства участников исследования и серьёзные пробелы в знании современных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обучению конкретному предмету. Существенным </w:t>
      </w:r>
      <w:r w:rsidR="00282233">
        <w:rPr>
          <w:rFonts w:ascii="Times New Roman" w:hAnsi="Times New Roman" w:cs="Times New Roman"/>
          <w:sz w:val="28"/>
          <w:szCs w:val="28"/>
        </w:rPr>
        <w:t>дефицитом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компетенциях учителей является контрольно-оценочная деятельность, что влечёт за собой неадекватное, часто необъективное оценивание учебных результатов обучающихся. </w:t>
      </w:r>
    </w:p>
    <w:p w:rsidR="00486A71" w:rsidRDefault="00095D3E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совершенствования функциональная грамотнос</w:t>
      </w:r>
      <w:r w:rsidR="00486A71">
        <w:rPr>
          <w:rFonts w:ascii="Times New Roman" w:hAnsi="Times New Roman" w:cs="Times New Roman"/>
          <w:sz w:val="28"/>
          <w:szCs w:val="28"/>
        </w:rPr>
        <w:t>ть учителей, так как достаточно большое количество ошибок было допущено учителями вследствие неверного прочтения и неточного понимания задания, неумения отобрать необходимую информацию для адекватного решения проблемы.</w:t>
      </w:r>
    </w:p>
    <w:p w:rsidR="00486A71" w:rsidRDefault="00486A71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набранным количеством баллов все участники разделены на группы по уровням владения предметными и методическими компетенциями:</w:t>
      </w:r>
    </w:p>
    <w:p w:rsidR="00486A71" w:rsidRPr="00C8109D" w:rsidRDefault="00486A71" w:rsidP="00282233">
      <w:pPr>
        <w:pStyle w:val="a4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75-100% выполнения</w:t>
      </w:r>
      <w:r w:rsidRPr="00C8109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высокий уровень, </w:t>
      </w:r>
      <w:r w:rsidRPr="00C8109D">
        <w:rPr>
          <w:rFonts w:ascii="Times New Roman" w:hAnsi="Times New Roman" w:cs="Times New Roman"/>
          <w:sz w:val="28"/>
          <w:szCs w:val="28"/>
        </w:rPr>
        <w:t xml:space="preserve">учитель владеет предметными и </w:t>
      </w:r>
      <w:proofErr w:type="gramStart"/>
      <w:r w:rsidRPr="00C8109D">
        <w:rPr>
          <w:rFonts w:ascii="Times New Roman" w:hAnsi="Times New Roman" w:cs="Times New Roman"/>
          <w:sz w:val="28"/>
          <w:szCs w:val="28"/>
        </w:rPr>
        <w:t>методическим</w:t>
      </w:r>
      <w:proofErr w:type="gramEnd"/>
      <w:r w:rsidRPr="00C8109D">
        <w:rPr>
          <w:rFonts w:ascii="Times New Roman" w:hAnsi="Times New Roman" w:cs="Times New Roman"/>
          <w:sz w:val="28"/>
          <w:szCs w:val="28"/>
        </w:rPr>
        <w:t xml:space="preserve"> компетенциями и может совершенствовать их самостоятельно;</w:t>
      </w:r>
    </w:p>
    <w:p w:rsidR="006E71BC" w:rsidRDefault="00486A71" w:rsidP="00282233">
      <w:pPr>
        <w:pStyle w:val="a4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1BC">
        <w:rPr>
          <w:rFonts w:ascii="Times New Roman" w:hAnsi="Times New Roman" w:cs="Times New Roman"/>
          <w:sz w:val="28"/>
          <w:szCs w:val="28"/>
        </w:rPr>
        <w:t>60-75% выполнения</w:t>
      </w:r>
      <w:r w:rsidRPr="006E71BC">
        <w:rPr>
          <w:rFonts w:ascii="Times New Roman" w:hAnsi="Times New Roman" w:cs="Times New Roman"/>
          <w:sz w:val="28"/>
          <w:szCs w:val="28"/>
        </w:rPr>
        <w:t xml:space="preserve"> – </w:t>
      </w:r>
      <w:r w:rsidRPr="006E71BC">
        <w:rPr>
          <w:rFonts w:ascii="Times New Roman" w:hAnsi="Times New Roman" w:cs="Times New Roman"/>
          <w:sz w:val="28"/>
          <w:szCs w:val="28"/>
        </w:rPr>
        <w:t xml:space="preserve">повышенный уровень, </w:t>
      </w:r>
      <w:r w:rsidRPr="006E71BC">
        <w:rPr>
          <w:rFonts w:ascii="Times New Roman" w:hAnsi="Times New Roman" w:cs="Times New Roman"/>
          <w:sz w:val="28"/>
          <w:szCs w:val="28"/>
        </w:rPr>
        <w:t xml:space="preserve">учитель владеет предметными и </w:t>
      </w:r>
      <w:proofErr w:type="gramStart"/>
      <w:r w:rsidRPr="006E71BC">
        <w:rPr>
          <w:rFonts w:ascii="Times New Roman" w:hAnsi="Times New Roman" w:cs="Times New Roman"/>
          <w:sz w:val="28"/>
          <w:szCs w:val="28"/>
        </w:rPr>
        <w:t>методическим</w:t>
      </w:r>
      <w:proofErr w:type="gramEnd"/>
      <w:r w:rsidRPr="006E71BC">
        <w:rPr>
          <w:rFonts w:ascii="Times New Roman" w:hAnsi="Times New Roman" w:cs="Times New Roman"/>
          <w:sz w:val="28"/>
          <w:szCs w:val="28"/>
        </w:rPr>
        <w:t xml:space="preserve"> компетенциями на </w:t>
      </w:r>
      <w:r w:rsidR="006E71BC" w:rsidRPr="006E71BC">
        <w:rPr>
          <w:rFonts w:ascii="Times New Roman" w:hAnsi="Times New Roman" w:cs="Times New Roman"/>
          <w:sz w:val="28"/>
          <w:szCs w:val="28"/>
        </w:rPr>
        <w:t>повышенном</w:t>
      </w:r>
      <w:r w:rsidRPr="006E71BC">
        <w:rPr>
          <w:rFonts w:ascii="Times New Roman" w:hAnsi="Times New Roman" w:cs="Times New Roman"/>
          <w:sz w:val="28"/>
          <w:szCs w:val="28"/>
        </w:rPr>
        <w:t xml:space="preserve"> уровне </w:t>
      </w:r>
      <w:r w:rsidR="006E71BC" w:rsidRPr="00C8109D">
        <w:rPr>
          <w:rFonts w:ascii="Times New Roman" w:hAnsi="Times New Roman" w:cs="Times New Roman"/>
          <w:sz w:val="28"/>
          <w:szCs w:val="28"/>
        </w:rPr>
        <w:t>и может совершенствовать их самостоятельно;</w:t>
      </w:r>
    </w:p>
    <w:p w:rsidR="006E71BC" w:rsidRPr="006E71BC" w:rsidRDefault="006E71BC" w:rsidP="00282233">
      <w:pPr>
        <w:pStyle w:val="a4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1BC">
        <w:rPr>
          <w:rFonts w:ascii="Times New Roman" w:hAnsi="Times New Roman" w:cs="Times New Roman"/>
          <w:sz w:val="28"/>
          <w:szCs w:val="28"/>
        </w:rPr>
        <w:t xml:space="preserve">50-60% выполнения – базовый уровень, </w:t>
      </w:r>
      <w:r w:rsidRPr="006E71BC">
        <w:rPr>
          <w:rFonts w:ascii="Times New Roman" w:hAnsi="Times New Roman" w:cs="Times New Roman"/>
          <w:sz w:val="28"/>
          <w:szCs w:val="28"/>
        </w:rPr>
        <w:t xml:space="preserve">учитель владеет предметными и </w:t>
      </w:r>
      <w:proofErr w:type="gramStart"/>
      <w:r w:rsidRPr="006E71BC">
        <w:rPr>
          <w:rFonts w:ascii="Times New Roman" w:hAnsi="Times New Roman" w:cs="Times New Roman"/>
          <w:sz w:val="28"/>
          <w:szCs w:val="28"/>
        </w:rPr>
        <w:t>методическим</w:t>
      </w:r>
      <w:proofErr w:type="gramEnd"/>
      <w:r w:rsidRPr="006E71BC">
        <w:rPr>
          <w:rFonts w:ascii="Times New Roman" w:hAnsi="Times New Roman" w:cs="Times New Roman"/>
          <w:sz w:val="28"/>
          <w:szCs w:val="28"/>
        </w:rPr>
        <w:t xml:space="preserve"> компетенциями на </w:t>
      </w:r>
      <w:r w:rsidRPr="006E71BC">
        <w:rPr>
          <w:rFonts w:ascii="Times New Roman" w:hAnsi="Times New Roman" w:cs="Times New Roman"/>
          <w:sz w:val="28"/>
          <w:szCs w:val="28"/>
        </w:rPr>
        <w:t xml:space="preserve">базовом </w:t>
      </w:r>
      <w:r w:rsidRPr="006E71BC">
        <w:rPr>
          <w:rFonts w:ascii="Times New Roman" w:hAnsi="Times New Roman" w:cs="Times New Roman"/>
          <w:sz w:val="28"/>
          <w:szCs w:val="28"/>
        </w:rPr>
        <w:t>уровне; требуется восполнение дефицитов в процессе повышения квалификации;</w:t>
      </w:r>
    </w:p>
    <w:p w:rsidR="00486A71" w:rsidRPr="00C8109D" w:rsidRDefault="006E71BC" w:rsidP="00282233">
      <w:pPr>
        <w:pStyle w:val="a4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40-50% выполнения</w:t>
      </w:r>
      <w:r w:rsidR="00486A71" w:rsidRPr="00C8109D">
        <w:rPr>
          <w:rFonts w:ascii="Times New Roman" w:hAnsi="Times New Roman" w:cs="Times New Roman"/>
          <w:sz w:val="28"/>
          <w:szCs w:val="28"/>
        </w:rPr>
        <w:t xml:space="preserve"> – учитель владеет предметными и </w:t>
      </w:r>
      <w:proofErr w:type="gramStart"/>
      <w:r w:rsidR="00486A71" w:rsidRPr="00C8109D">
        <w:rPr>
          <w:rFonts w:ascii="Times New Roman" w:hAnsi="Times New Roman" w:cs="Times New Roman"/>
          <w:sz w:val="28"/>
          <w:szCs w:val="28"/>
        </w:rPr>
        <w:t>методическим</w:t>
      </w:r>
      <w:proofErr w:type="gramEnd"/>
      <w:r w:rsidR="00486A71" w:rsidRPr="00C8109D">
        <w:rPr>
          <w:rFonts w:ascii="Times New Roman" w:hAnsi="Times New Roman" w:cs="Times New Roman"/>
          <w:sz w:val="28"/>
          <w:szCs w:val="28"/>
        </w:rPr>
        <w:t xml:space="preserve"> компетенциями на </w:t>
      </w:r>
      <w:r>
        <w:rPr>
          <w:rFonts w:ascii="Times New Roman" w:hAnsi="Times New Roman" w:cs="Times New Roman"/>
          <w:sz w:val="28"/>
          <w:szCs w:val="28"/>
        </w:rPr>
        <w:t>удовлетворительном</w:t>
      </w:r>
      <w:r w:rsidR="00486A71" w:rsidRPr="00C8109D">
        <w:rPr>
          <w:rFonts w:ascii="Times New Roman" w:hAnsi="Times New Roman" w:cs="Times New Roman"/>
          <w:sz w:val="28"/>
          <w:szCs w:val="28"/>
        </w:rPr>
        <w:t xml:space="preserve"> уровне; требуется методическая помощь со стороны муниципальных и школьных методических служб;</w:t>
      </w:r>
    </w:p>
    <w:p w:rsidR="00486A71" w:rsidRDefault="00486A71" w:rsidP="00282233">
      <w:pPr>
        <w:pStyle w:val="a4"/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09D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6E71BC">
        <w:rPr>
          <w:rFonts w:ascii="Times New Roman" w:hAnsi="Times New Roman" w:cs="Times New Roman"/>
          <w:sz w:val="28"/>
          <w:szCs w:val="28"/>
        </w:rPr>
        <w:t>40% выполнения</w:t>
      </w:r>
      <w:r w:rsidRPr="00C8109D">
        <w:rPr>
          <w:rFonts w:ascii="Times New Roman" w:hAnsi="Times New Roman" w:cs="Times New Roman"/>
          <w:sz w:val="28"/>
          <w:szCs w:val="28"/>
        </w:rPr>
        <w:t xml:space="preserve"> – </w:t>
      </w:r>
      <w:r w:rsidR="006E71BC">
        <w:rPr>
          <w:rFonts w:ascii="Times New Roman" w:hAnsi="Times New Roman" w:cs="Times New Roman"/>
          <w:sz w:val="28"/>
          <w:szCs w:val="28"/>
        </w:rPr>
        <w:t xml:space="preserve">низкий уровень, </w:t>
      </w:r>
      <w:r w:rsidRPr="00C8109D">
        <w:rPr>
          <w:rFonts w:ascii="Times New Roman" w:hAnsi="Times New Roman" w:cs="Times New Roman"/>
          <w:sz w:val="28"/>
          <w:szCs w:val="28"/>
        </w:rPr>
        <w:t>учитель владеет предметными и методическим компетенциями</w:t>
      </w:r>
      <w:r w:rsidR="006E71BC">
        <w:rPr>
          <w:rFonts w:ascii="Times New Roman" w:hAnsi="Times New Roman" w:cs="Times New Roman"/>
          <w:sz w:val="28"/>
          <w:szCs w:val="28"/>
        </w:rPr>
        <w:t xml:space="preserve"> на низком </w:t>
      </w:r>
      <w:proofErr w:type="gramStart"/>
      <w:r w:rsidR="006E71BC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C8109D">
        <w:rPr>
          <w:rFonts w:ascii="Times New Roman" w:hAnsi="Times New Roman" w:cs="Times New Roman"/>
          <w:sz w:val="28"/>
          <w:szCs w:val="28"/>
        </w:rPr>
        <w:t xml:space="preserve">; требуется </w:t>
      </w:r>
      <w:r w:rsidR="006E71BC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Pr="00C8109D">
        <w:rPr>
          <w:rFonts w:ascii="Times New Roman" w:hAnsi="Times New Roman" w:cs="Times New Roman"/>
          <w:sz w:val="28"/>
          <w:szCs w:val="28"/>
        </w:rPr>
        <w:t>учителя по соответствующим дефицитам в его деятельности.</w:t>
      </w:r>
    </w:p>
    <w:p w:rsidR="00BA378B" w:rsidRDefault="00BA378B" w:rsidP="00282233">
      <w:pPr>
        <w:pStyle w:val="a4"/>
        <w:tabs>
          <w:tab w:val="left" w:pos="709"/>
          <w:tab w:val="left" w:pos="1134"/>
        </w:tabs>
        <w:spacing w:after="0" w:line="36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распределение всех участников исследования на группы по уровням владения компетенциями показано в диаграмме (рис. 7). Из диаграммы видно, что большая часть учителей владеет компетенциями на </w:t>
      </w:r>
      <w:r>
        <w:rPr>
          <w:rFonts w:ascii="Times New Roman" w:hAnsi="Times New Roman" w:cs="Times New Roman"/>
          <w:sz w:val="28"/>
          <w:szCs w:val="28"/>
        </w:rPr>
        <w:lastRenderedPageBreak/>
        <w:t>высоком (32%) и повышенном (27%) уровне. Это свидетельствует о том, что в педагогических коллективах школ с низкими результатами обучения имеется кадровый ресурс из грамотных компетентных специалистов, которые при соответствующей мотивации и реализации современных подходов к обучению</w:t>
      </w:r>
      <w:r w:rsidR="00105999">
        <w:rPr>
          <w:rFonts w:ascii="Times New Roman" w:hAnsi="Times New Roman" w:cs="Times New Roman"/>
          <w:sz w:val="28"/>
          <w:szCs w:val="28"/>
        </w:rPr>
        <w:t xml:space="preserve"> могут достигать хороших результатов обучения.</w:t>
      </w:r>
      <w:r w:rsidR="00763725">
        <w:rPr>
          <w:rFonts w:ascii="Times New Roman" w:hAnsi="Times New Roman" w:cs="Times New Roman"/>
          <w:sz w:val="28"/>
          <w:szCs w:val="28"/>
        </w:rPr>
        <w:t xml:space="preserve"> Наряду с эти достаточно большая доля учителей име</w:t>
      </w:r>
      <w:r w:rsidR="00282233">
        <w:rPr>
          <w:rFonts w:ascii="Times New Roman" w:hAnsi="Times New Roman" w:cs="Times New Roman"/>
          <w:sz w:val="28"/>
          <w:szCs w:val="28"/>
        </w:rPr>
        <w:t>е</w:t>
      </w:r>
      <w:r w:rsidR="00763725">
        <w:rPr>
          <w:rFonts w:ascii="Times New Roman" w:hAnsi="Times New Roman" w:cs="Times New Roman"/>
          <w:sz w:val="28"/>
          <w:szCs w:val="28"/>
        </w:rPr>
        <w:t>т серьёзные профессиональные дефициты, которые не позволяют им подняться выше базового и удовлетворительного уровня. Следовательно, сохраняется риск не обеспечить запросы разных категорий обучающихся, в том числе запрос на  изучение предметов на углублённом уровне.</w:t>
      </w:r>
    </w:p>
    <w:p w:rsidR="006E71BC" w:rsidRPr="00C8109D" w:rsidRDefault="00BA378B" w:rsidP="00105999">
      <w:pPr>
        <w:pStyle w:val="a4"/>
        <w:tabs>
          <w:tab w:val="left" w:pos="709"/>
          <w:tab w:val="left" w:pos="1134"/>
        </w:tabs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56B8B4" wp14:editId="21C42370">
            <wp:extent cx="5143500" cy="28765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86A71" w:rsidRPr="00105999" w:rsidRDefault="00105999" w:rsidP="00105999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105999">
        <w:rPr>
          <w:rFonts w:ascii="Times New Roman" w:hAnsi="Times New Roman" w:cs="Times New Roman"/>
          <w:i/>
          <w:sz w:val="24"/>
        </w:rPr>
        <w:t xml:space="preserve">Рис. 8. </w:t>
      </w:r>
      <w:r>
        <w:rPr>
          <w:rFonts w:ascii="Times New Roman" w:hAnsi="Times New Roman" w:cs="Times New Roman"/>
          <w:i/>
          <w:sz w:val="24"/>
        </w:rPr>
        <w:t>Распределение участников по уровням владения компетенциями</w:t>
      </w:r>
    </w:p>
    <w:p w:rsidR="00105999" w:rsidRDefault="00105999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Сравнительный анализ уровневых групп выявляет, что наибольшее количество учителей, показавших высокий результат – это учителя русского языка, большая часть учителей математики владеют компетенциями на повышенном уровне, </w:t>
      </w:r>
      <w:r w:rsidR="00763725">
        <w:rPr>
          <w:rFonts w:ascii="Times New Roman" w:hAnsi="Times New Roman" w:cs="Times New Roman"/>
          <w:sz w:val="28"/>
          <w:szCs w:val="28"/>
        </w:rPr>
        <w:t xml:space="preserve">учителя обществознания – на базовом и удовлетворительном уровне, учителя химии – на удовлетворительном уровне, </w:t>
      </w:r>
      <w:r w:rsidR="00421201">
        <w:rPr>
          <w:rFonts w:ascii="Times New Roman" w:hAnsi="Times New Roman" w:cs="Times New Roman"/>
          <w:sz w:val="28"/>
          <w:szCs w:val="28"/>
        </w:rPr>
        <w:t>самая большая доля учителей, владеющих компетенциями на низком уровне, относится к учителям биологии (рис.9).</w:t>
      </w:r>
      <w:r w:rsidR="007637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21201">
        <w:rPr>
          <w:rFonts w:ascii="Times New Roman" w:hAnsi="Times New Roman" w:cs="Times New Roman"/>
          <w:sz w:val="28"/>
          <w:szCs w:val="28"/>
        </w:rPr>
        <w:t>Адресные рекомендации по преодолению конкретных профессиональных дефицитов приведены в аналитических справках экспертов (приложения 1-5)</w:t>
      </w:r>
    </w:p>
    <w:p w:rsidR="00105999" w:rsidRDefault="00105999" w:rsidP="00105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F0F86B2" wp14:editId="0C9766EB">
            <wp:extent cx="5257800" cy="257175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1201" w:rsidRDefault="00421201" w:rsidP="00421201">
      <w:pPr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421201">
        <w:rPr>
          <w:rFonts w:ascii="Times New Roman" w:hAnsi="Times New Roman" w:cs="Times New Roman"/>
          <w:i/>
          <w:sz w:val="24"/>
          <w:szCs w:val="28"/>
        </w:rPr>
        <w:t xml:space="preserve">Рис. 9. </w:t>
      </w:r>
      <w:r w:rsidRPr="00421201">
        <w:rPr>
          <w:rFonts w:ascii="Times New Roman" w:hAnsi="Times New Roman" w:cs="Times New Roman"/>
          <w:bCs/>
          <w:i/>
          <w:sz w:val="24"/>
          <w:szCs w:val="28"/>
        </w:rPr>
        <w:t>Доля учителей-предметников по уровням владения компетенциями</w:t>
      </w:r>
    </w:p>
    <w:p w:rsidR="00282233" w:rsidRPr="00421201" w:rsidRDefault="00282233" w:rsidP="00421201">
      <w:pPr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21201" w:rsidRPr="00421201" w:rsidRDefault="00421201" w:rsidP="0042120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21201">
        <w:rPr>
          <w:rFonts w:ascii="Times New Roman" w:hAnsi="Times New Roman" w:cs="Times New Roman"/>
          <w:b/>
          <w:sz w:val="28"/>
          <w:szCs w:val="24"/>
        </w:rPr>
        <w:t>Выводы и рекомендации</w:t>
      </w:r>
    </w:p>
    <w:p w:rsidR="00421201" w:rsidRDefault="00421201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1201">
        <w:rPr>
          <w:rFonts w:ascii="Times New Roman" w:hAnsi="Times New Roman" w:cs="Times New Roman"/>
          <w:sz w:val="28"/>
          <w:szCs w:val="24"/>
        </w:rPr>
        <w:t xml:space="preserve">На основе результатов </w:t>
      </w:r>
      <w:r>
        <w:rPr>
          <w:rFonts w:ascii="Times New Roman" w:hAnsi="Times New Roman" w:cs="Times New Roman"/>
          <w:sz w:val="28"/>
          <w:szCs w:val="24"/>
        </w:rPr>
        <w:t xml:space="preserve">исследования в ходе мониторинга предметных и методических компетенций педагогических работников </w:t>
      </w:r>
      <w:r w:rsidR="007E15D8">
        <w:rPr>
          <w:rFonts w:ascii="Times New Roman" w:hAnsi="Times New Roman" w:cs="Times New Roman"/>
          <w:sz w:val="28"/>
          <w:szCs w:val="24"/>
        </w:rPr>
        <w:t xml:space="preserve">Амурской области </w:t>
      </w:r>
      <w:r>
        <w:rPr>
          <w:rFonts w:ascii="Times New Roman" w:hAnsi="Times New Roman" w:cs="Times New Roman"/>
          <w:sz w:val="28"/>
          <w:szCs w:val="24"/>
        </w:rPr>
        <w:t xml:space="preserve">в школах </w:t>
      </w:r>
      <w:r w:rsidR="007E15D8">
        <w:rPr>
          <w:rFonts w:ascii="Times New Roman" w:hAnsi="Times New Roman" w:cs="Times New Roman"/>
          <w:sz w:val="28"/>
          <w:szCs w:val="24"/>
        </w:rPr>
        <w:t>с низкими результатами обучения можно сделать следующие выводы:</w:t>
      </w:r>
    </w:p>
    <w:p w:rsidR="007E15D8" w:rsidRDefault="007E15D8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в мониторинге приняло участие подавляющее большинство </w:t>
      </w:r>
      <w:r w:rsidR="00A623F2">
        <w:rPr>
          <w:rFonts w:ascii="Times New Roman" w:hAnsi="Times New Roman" w:cs="Times New Roman"/>
          <w:sz w:val="28"/>
          <w:szCs w:val="24"/>
        </w:rPr>
        <w:t xml:space="preserve">учителей из школ с низкими результатами </w:t>
      </w:r>
      <w:proofErr w:type="gramStart"/>
      <w:r w:rsidR="00A623F2">
        <w:rPr>
          <w:rFonts w:ascii="Times New Roman" w:hAnsi="Times New Roman" w:cs="Times New Roman"/>
          <w:sz w:val="28"/>
          <w:szCs w:val="24"/>
        </w:rPr>
        <w:t>обучения по</w:t>
      </w:r>
      <w:proofErr w:type="gramEnd"/>
      <w:r w:rsidR="00A623F2">
        <w:rPr>
          <w:rFonts w:ascii="Times New Roman" w:hAnsi="Times New Roman" w:cs="Times New Roman"/>
          <w:sz w:val="28"/>
          <w:szCs w:val="24"/>
        </w:rPr>
        <w:t xml:space="preserve"> учебным предметам русский язык, математика, обществознание, биология, химия;</w:t>
      </w:r>
    </w:p>
    <w:p w:rsidR="00A623F2" w:rsidRDefault="00A623F2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мониторинг выявил типичные для всех учителей области и конкретные для отдельных педагогов профессиональные дефициты, которые позволяют выстраивать групповые и индивидуальные маршруты профессионального роста;</w:t>
      </w:r>
    </w:p>
    <w:p w:rsidR="00A623F2" w:rsidRDefault="00A623F2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5729D9">
        <w:rPr>
          <w:rFonts w:ascii="Times New Roman" w:hAnsi="Times New Roman" w:cs="Times New Roman"/>
          <w:sz w:val="28"/>
          <w:szCs w:val="24"/>
        </w:rPr>
        <w:t xml:space="preserve">результаты </w:t>
      </w:r>
      <w:r>
        <w:rPr>
          <w:rFonts w:ascii="Times New Roman" w:hAnsi="Times New Roman" w:cs="Times New Roman"/>
          <w:sz w:val="28"/>
          <w:szCs w:val="24"/>
        </w:rPr>
        <w:t>мониторинг</w:t>
      </w:r>
      <w:r w:rsidR="005729D9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позволя</w:t>
      </w:r>
      <w:r w:rsidR="005729D9"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 xml:space="preserve">т </w:t>
      </w:r>
      <w:r w:rsidR="005729D9">
        <w:rPr>
          <w:rFonts w:ascii="Times New Roman" w:hAnsi="Times New Roman" w:cs="Times New Roman"/>
          <w:sz w:val="28"/>
          <w:szCs w:val="24"/>
        </w:rPr>
        <w:t>целенаправленно проектировать работу региональных, муниципальных и школьных методических служб по совершенствованию профессионального мастерства учителей.</w:t>
      </w:r>
    </w:p>
    <w:p w:rsidR="0073579A" w:rsidRDefault="0073579A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73579A" w:rsidRDefault="0073579A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73579A" w:rsidRDefault="0073579A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729D9" w:rsidRDefault="005729D9" w:rsidP="0028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На основе выводов разработаны </w:t>
      </w:r>
      <w:r w:rsidRPr="0073579A">
        <w:rPr>
          <w:rFonts w:ascii="Times New Roman" w:hAnsi="Times New Roman" w:cs="Times New Roman"/>
          <w:b/>
          <w:sz w:val="28"/>
          <w:szCs w:val="24"/>
        </w:rPr>
        <w:t>адресные рекомендации участникам образовательного пространства области.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6946"/>
      </w:tblGrid>
      <w:tr w:rsidR="00987F6B" w:rsidRPr="00845261" w:rsidTr="0073579A">
        <w:tc>
          <w:tcPr>
            <w:tcW w:w="484" w:type="dxa"/>
          </w:tcPr>
          <w:p w:rsidR="00987F6B" w:rsidRPr="00845261" w:rsidRDefault="00987F6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4" w:type="dxa"/>
          </w:tcPr>
          <w:p w:rsidR="00987F6B" w:rsidRPr="00845261" w:rsidRDefault="00987F6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Адресат</w:t>
            </w:r>
          </w:p>
        </w:tc>
        <w:tc>
          <w:tcPr>
            <w:tcW w:w="6946" w:type="dxa"/>
          </w:tcPr>
          <w:p w:rsidR="00987F6B" w:rsidRPr="00845261" w:rsidRDefault="00987F6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8B5B3B" w:rsidRPr="00845261" w:rsidTr="0073579A">
        <w:tc>
          <w:tcPr>
            <w:tcW w:w="484" w:type="dxa"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  <w:vMerge w:val="restart"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Государственному автономному учреждению дополнительного профессионального образования «Амурский областной институт развития образования»</w:t>
            </w:r>
          </w:p>
        </w:tc>
        <w:tc>
          <w:tcPr>
            <w:tcW w:w="6946" w:type="dxa"/>
          </w:tcPr>
          <w:p w:rsidR="008B5B3B" w:rsidRPr="00845261" w:rsidRDefault="008B5B3B" w:rsidP="00354976">
            <w:pPr>
              <w:pStyle w:val="a4"/>
              <w:numPr>
                <w:ilvl w:val="0"/>
                <w:numId w:val="5"/>
              </w:numPr>
              <w:ind w:left="0" w:right="-1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5261">
              <w:rPr>
                <w:rFonts w:ascii="Times New Roman" w:hAnsi="Times New Roman" w:cs="Times New Roman"/>
                <w:sz w:val="24"/>
                <w:szCs w:val="28"/>
              </w:rPr>
              <w:t>продолжить совершенствование региональной системы оценки профессиональных компетенций работников ОО, направленных на выявление дефицитов и профицитов в подготовке педагогических кадров; в сентябре 2021 года провести исследование предметных и методических компетенций учителей физики, литературы, истории, информатики, английского языка;</w:t>
            </w:r>
          </w:p>
        </w:tc>
      </w:tr>
      <w:tr w:rsidR="008B5B3B" w:rsidRPr="00845261" w:rsidTr="0073579A">
        <w:tc>
          <w:tcPr>
            <w:tcW w:w="484" w:type="dxa"/>
            <w:vMerge w:val="restart"/>
            <w:tcBorders>
              <w:top w:val="nil"/>
            </w:tcBorders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5B3B" w:rsidRPr="00845261" w:rsidRDefault="008B5B3B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- предметным кафедрам использовать результаты мониторинга при реализации программ дополнительного профессионального образования педагогических работников и акцентировать внимание на выявленных в ходе мо</w:t>
            </w: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ниторинга предметных дефицитах;</w:t>
            </w:r>
          </w:p>
        </w:tc>
      </w:tr>
      <w:tr w:rsidR="008B5B3B" w:rsidRPr="00845261" w:rsidTr="0073579A">
        <w:tc>
          <w:tcPr>
            <w:tcW w:w="48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5B3B" w:rsidRPr="00845261" w:rsidRDefault="008B5B3B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- предметным кафедрам усилить практическую составляющую программ  дополнительного профессионального образования педагогических работников, включая модули по совершенствованию контрольно-оценочных компетенций и функциональной грамотности учителей</w:t>
            </w: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B5B3B" w:rsidRPr="00845261" w:rsidTr="0073579A">
        <w:tc>
          <w:tcPr>
            <w:tcW w:w="48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5B3B" w:rsidRPr="00845261" w:rsidRDefault="008B5B3B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- использовать профессиональный опыт лучших педагогов при реализации программ дополнительного профессионального образования.</w:t>
            </w:r>
          </w:p>
        </w:tc>
      </w:tr>
      <w:tr w:rsidR="008B5B3B" w:rsidRPr="00845261" w:rsidTr="0073579A">
        <w:tc>
          <w:tcPr>
            <w:tcW w:w="48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2233" w:rsidRDefault="008B5B3B" w:rsidP="0073579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- разработать индивидуальные маршруты повышения профессионального мастерства из групп с низкими и удовлетворительными результатами по итогам мониторинга.</w:t>
            </w:r>
          </w:p>
          <w:p w:rsidR="0073579A" w:rsidRPr="00845261" w:rsidRDefault="0073579A" w:rsidP="0073579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3B" w:rsidRPr="00845261" w:rsidTr="0073579A">
        <w:tc>
          <w:tcPr>
            <w:tcW w:w="484" w:type="dxa"/>
            <w:vMerge w:val="restart"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4" w:type="dxa"/>
            <w:vMerge w:val="restart"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Муниципальным органам местного самоуправления в сфере образования</w:t>
            </w:r>
          </w:p>
        </w:tc>
        <w:tc>
          <w:tcPr>
            <w:tcW w:w="6946" w:type="dxa"/>
          </w:tcPr>
          <w:p w:rsidR="008B5B3B" w:rsidRPr="00845261" w:rsidRDefault="008B5B3B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- использовать результаты исследования профессиональных компетенций учителей при планировании методической работы по повышению их профессионального мастерства</w:t>
            </w: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B5B3B" w:rsidRPr="00845261" w:rsidTr="0073579A">
        <w:tc>
          <w:tcPr>
            <w:tcW w:w="48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5B3B" w:rsidRPr="00845261" w:rsidRDefault="008B5B3B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- направлять на курсы повышения квалификации учителей в соответ</w:t>
            </w: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ствии с выявленными дефицитами;</w:t>
            </w:r>
          </w:p>
        </w:tc>
      </w:tr>
      <w:tr w:rsidR="008B5B3B" w:rsidRPr="00845261" w:rsidTr="0073579A">
        <w:tc>
          <w:tcPr>
            <w:tcW w:w="48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5B3B" w:rsidRPr="00845261" w:rsidRDefault="008B5B3B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- совершенствовать муниципальную систему выявления профессиональных дефицитов учителей и систему профессионального наставничества</w:t>
            </w: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B5B3B" w:rsidRPr="00845261" w:rsidTr="0073579A">
        <w:tc>
          <w:tcPr>
            <w:tcW w:w="48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8B5B3B" w:rsidRPr="00845261" w:rsidRDefault="008B5B3B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2233" w:rsidRDefault="008B5B3B" w:rsidP="0073579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профессиональный опыт лучших педагогов при </w:t>
            </w: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организации работы по диссеминации образовательных практик.</w:t>
            </w:r>
          </w:p>
          <w:p w:rsidR="0073579A" w:rsidRPr="00845261" w:rsidRDefault="0073579A" w:rsidP="0073579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233" w:rsidRPr="00845261" w:rsidTr="0073579A">
        <w:tc>
          <w:tcPr>
            <w:tcW w:w="484" w:type="dxa"/>
            <w:vMerge w:val="restart"/>
          </w:tcPr>
          <w:p w:rsidR="00282233" w:rsidRPr="00845261" w:rsidRDefault="00282233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4" w:type="dxa"/>
            <w:vMerge w:val="restart"/>
          </w:tcPr>
          <w:p w:rsidR="00282233" w:rsidRPr="00845261" w:rsidRDefault="00282233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общеобразовательных организаций </w:t>
            </w: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и руководителям школьных методических служб</w:t>
            </w:r>
          </w:p>
        </w:tc>
        <w:tc>
          <w:tcPr>
            <w:tcW w:w="6946" w:type="dxa"/>
          </w:tcPr>
          <w:p w:rsidR="00282233" w:rsidRPr="00845261" w:rsidRDefault="00282233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- обеспечить повышение квалификации учителей, прошедших оценку компетенций в ходе регионального мониторинга, в соответствии с выявленными дефицитами;</w:t>
            </w:r>
          </w:p>
        </w:tc>
      </w:tr>
      <w:tr w:rsidR="00282233" w:rsidRPr="00845261" w:rsidTr="0073579A">
        <w:tc>
          <w:tcPr>
            <w:tcW w:w="484" w:type="dxa"/>
            <w:vMerge/>
          </w:tcPr>
          <w:p w:rsidR="00282233" w:rsidRPr="00845261" w:rsidRDefault="00282233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282233" w:rsidRPr="00845261" w:rsidRDefault="00282233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2233" w:rsidRPr="00845261" w:rsidRDefault="00282233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- организовать работу по разработке и реализации индивидуальных программ повышения профессионального мастерства учителей в соответствии с выявленными профессиональными дефицитами</w:t>
            </w:r>
          </w:p>
        </w:tc>
      </w:tr>
      <w:tr w:rsidR="00282233" w:rsidRPr="00845261" w:rsidTr="0073579A">
        <w:tc>
          <w:tcPr>
            <w:tcW w:w="484" w:type="dxa"/>
            <w:vMerge/>
          </w:tcPr>
          <w:p w:rsidR="00282233" w:rsidRPr="00845261" w:rsidRDefault="00282233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282233" w:rsidRPr="00845261" w:rsidRDefault="00282233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2233" w:rsidRDefault="00282233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мотивировать учителей на прохождение аттестации на первую и высшую квалификационные категории.</w:t>
            </w:r>
          </w:p>
          <w:p w:rsidR="00282233" w:rsidRPr="00845261" w:rsidRDefault="00282233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261" w:rsidRPr="00845261" w:rsidTr="0073579A">
        <w:tc>
          <w:tcPr>
            <w:tcW w:w="484" w:type="dxa"/>
            <w:vMerge w:val="restart"/>
          </w:tcPr>
          <w:p w:rsidR="00845261" w:rsidRPr="00845261" w:rsidRDefault="00845261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4" w:type="dxa"/>
            <w:vMerge w:val="restart"/>
          </w:tcPr>
          <w:p w:rsidR="00845261" w:rsidRPr="00845261" w:rsidRDefault="00845261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 общеобразовательных организаций</w:t>
            </w:r>
          </w:p>
        </w:tc>
        <w:tc>
          <w:tcPr>
            <w:tcW w:w="6946" w:type="dxa"/>
          </w:tcPr>
          <w:p w:rsidR="00845261" w:rsidRPr="00845261" w:rsidRDefault="00845261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совершенствовать психолого-педагогические компетенции по сопровождению </w:t>
            </w:r>
            <w:proofErr w:type="gramStart"/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5261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образовательными потребностями и возможностями, в том числе с детьми с ОВЗ;</w:t>
            </w:r>
          </w:p>
        </w:tc>
      </w:tr>
      <w:tr w:rsidR="00845261" w:rsidRPr="00845261" w:rsidTr="0073579A">
        <w:tc>
          <w:tcPr>
            <w:tcW w:w="484" w:type="dxa"/>
            <w:vMerge/>
          </w:tcPr>
          <w:p w:rsidR="00845261" w:rsidRPr="00845261" w:rsidRDefault="00845261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845261" w:rsidRPr="00845261" w:rsidRDefault="00845261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45261" w:rsidRPr="00845261" w:rsidRDefault="00845261" w:rsidP="00987F6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- совершенствовать функциональную грамотность;</w:t>
            </w:r>
          </w:p>
        </w:tc>
      </w:tr>
      <w:tr w:rsidR="00845261" w:rsidRPr="00845261" w:rsidTr="0073579A">
        <w:tc>
          <w:tcPr>
            <w:tcW w:w="484" w:type="dxa"/>
            <w:vMerge/>
          </w:tcPr>
          <w:p w:rsidR="00845261" w:rsidRPr="00845261" w:rsidRDefault="00845261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845261" w:rsidRPr="00845261" w:rsidRDefault="00845261" w:rsidP="0035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2233" w:rsidRDefault="00845261" w:rsidP="0073579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1">
              <w:rPr>
                <w:rFonts w:ascii="Times New Roman" w:hAnsi="Times New Roman" w:cs="Times New Roman"/>
                <w:sz w:val="24"/>
                <w:szCs w:val="24"/>
              </w:rPr>
              <w:t>- совершенствовать навыки контрольно-оценочной деятельности</w:t>
            </w:r>
          </w:p>
          <w:p w:rsidR="0073579A" w:rsidRPr="00845261" w:rsidRDefault="0073579A" w:rsidP="0073579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54976" w:rsidRDefault="00354976" w:rsidP="0035497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354976" w:rsidRDefault="00354976" w:rsidP="005E5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47F5" w:rsidRDefault="004947F5" w:rsidP="004947F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73579A" w:rsidRDefault="0073579A" w:rsidP="004947F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Аналитическую справку составила:</w:t>
      </w:r>
    </w:p>
    <w:p w:rsidR="0073579A" w:rsidRDefault="0073579A" w:rsidP="0073579A">
      <w:pPr>
        <w:spacing w:after="0"/>
        <w:ind w:left="311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Корнеева А.Б., заведующий лабораторией организационно-методического обеспечения реализации ФГОС ГАУ ДПО «</w:t>
      </w:r>
      <w:proofErr w:type="spellStart"/>
      <w:r>
        <w:rPr>
          <w:rFonts w:ascii="Times New Roman" w:hAnsi="Times New Roman" w:cs="Times New Roman"/>
          <w:sz w:val="28"/>
          <w:szCs w:val="24"/>
        </w:rPr>
        <w:t>АмИРО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</w:p>
    <w:sectPr w:rsidR="0073579A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25" w:rsidRDefault="00763725" w:rsidP="00763725">
      <w:pPr>
        <w:spacing w:after="0" w:line="240" w:lineRule="auto"/>
      </w:pPr>
      <w:r>
        <w:separator/>
      </w:r>
    </w:p>
  </w:endnote>
  <w:endnote w:type="continuationSeparator" w:id="0">
    <w:p w:rsidR="00763725" w:rsidRDefault="00763725" w:rsidP="0076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696338"/>
      <w:docPartObj>
        <w:docPartGallery w:val="Page Numbers (Bottom of Page)"/>
        <w:docPartUnique/>
      </w:docPartObj>
    </w:sdtPr>
    <w:sdtContent>
      <w:p w:rsidR="00763725" w:rsidRDefault="007637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79A">
          <w:rPr>
            <w:noProof/>
          </w:rPr>
          <w:t>8</w:t>
        </w:r>
        <w:r>
          <w:fldChar w:fldCharType="end"/>
        </w:r>
      </w:p>
    </w:sdtContent>
  </w:sdt>
  <w:p w:rsidR="00763725" w:rsidRDefault="007637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25" w:rsidRDefault="00763725" w:rsidP="00763725">
      <w:pPr>
        <w:spacing w:after="0" w:line="240" w:lineRule="auto"/>
      </w:pPr>
      <w:r>
        <w:separator/>
      </w:r>
    </w:p>
  </w:footnote>
  <w:footnote w:type="continuationSeparator" w:id="0">
    <w:p w:rsidR="00763725" w:rsidRDefault="00763725" w:rsidP="0076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F9C"/>
    <w:multiLevelType w:val="multilevel"/>
    <w:tmpl w:val="231A24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C813AB7"/>
    <w:multiLevelType w:val="multilevel"/>
    <w:tmpl w:val="8CA2AF3E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2">
    <w:nsid w:val="3E981EF3"/>
    <w:multiLevelType w:val="hybridMultilevel"/>
    <w:tmpl w:val="2F6CBC1C"/>
    <w:lvl w:ilvl="0" w:tplc="A1664508">
      <w:start w:val="1"/>
      <w:numFmt w:val="bullet"/>
      <w:lvlText w:val="-"/>
      <w:lvlJc w:val="left"/>
      <w:pPr>
        <w:ind w:left="1418" w:hanging="360"/>
      </w:p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>
    <w:nsid w:val="42840B68"/>
    <w:multiLevelType w:val="hybridMultilevel"/>
    <w:tmpl w:val="A2727CC0"/>
    <w:lvl w:ilvl="0" w:tplc="A1664508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6B08B5"/>
    <w:multiLevelType w:val="multilevel"/>
    <w:tmpl w:val="F3DC0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7EC0BAE"/>
    <w:multiLevelType w:val="multilevel"/>
    <w:tmpl w:val="ADBC8B40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18603D6"/>
    <w:multiLevelType w:val="hybridMultilevel"/>
    <w:tmpl w:val="BF54816C"/>
    <w:lvl w:ilvl="0" w:tplc="7DCECCE4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>
    <w:nsid w:val="722707D7"/>
    <w:multiLevelType w:val="hybridMultilevel"/>
    <w:tmpl w:val="615A2778"/>
    <w:lvl w:ilvl="0" w:tplc="ECFC21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9881A22"/>
    <w:multiLevelType w:val="hybridMultilevel"/>
    <w:tmpl w:val="5584116C"/>
    <w:lvl w:ilvl="0" w:tplc="A01E4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5B"/>
    <w:rsid w:val="000073D3"/>
    <w:rsid w:val="000635AC"/>
    <w:rsid w:val="00095D3E"/>
    <w:rsid w:val="00105999"/>
    <w:rsid w:val="00110026"/>
    <w:rsid w:val="001B0432"/>
    <w:rsid w:val="0022215C"/>
    <w:rsid w:val="00282233"/>
    <w:rsid w:val="00314483"/>
    <w:rsid w:val="00333167"/>
    <w:rsid w:val="00346975"/>
    <w:rsid w:val="00354976"/>
    <w:rsid w:val="003C306A"/>
    <w:rsid w:val="003C673D"/>
    <w:rsid w:val="00420496"/>
    <w:rsid w:val="00421201"/>
    <w:rsid w:val="00486A71"/>
    <w:rsid w:val="004947F5"/>
    <w:rsid w:val="004A7798"/>
    <w:rsid w:val="004B2D29"/>
    <w:rsid w:val="00502788"/>
    <w:rsid w:val="00514A59"/>
    <w:rsid w:val="005508AA"/>
    <w:rsid w:val="005729D9"/>
    <w:rsid w:val="00573654"/>
    <w:rsid w:val="005E4102"/>
    <w:rsid w:val="005E564C"/>
    <w:rsid w:val="00603220"/>
    <w:rsid w:val="006E0FF6"/>
    <w:rsid w:val="006E71BC"/>
    <w:rsid w:val="00720B94"/>
    <w:rsid w:val="007261A5"/>
    <w:rsid w:val="0073579A"/>
    <w:rsid w:val="00763725"/>
    <w:rsid w:val="007B01A1"/>
    <w:rsid w:val="007E15D8"/>
    <w:rsid w:val="00845261"/>
    <w:rsid w:val="00863EAC"/>
    <w:rsid w:val="008805AD"/>
    <w:rsid w:val="008B5B3B"/>
    <w:rsid w:val="00925419"/>
    <w:rsid w:val="009503EC"/>
    <w:rsid w:val="009645CB"/>
    <w:rsid w:val="00987F6B"/>
    <w:rsid w:val="009E5361"/>
    <w:rsid w:val="00A623F2"/>
    <w:rsid w:val="00B146A9"/>
    <w:rsid w:val="00B34ED9"/>
    <w:rsid w:val="00B5025B"/>
    <w:rsid w:val="00B56772"/>
    <w:rsid w:val="00BA378B"/>
    <w:rsid w:val="00BC04AE"/>
    <w:rsid w:val="00BC0C2D"/>
    <w:rsid w:val="00C0325B"/>
    <w:rsid w:val="00C33495"/>
    <w:rsid w:val="00C8109D"/>
    <w:rsid w:val="00CA4EF0"/>
    <w:rsid w:val="00D50ECF"/>
    <w:rsid w:val="00E205AA"/>
    <w:rsid w:val="00E27855"/>
    <w:rsid w:val="00E73659"/>
    <w:rsid w:val="00EA5B01"/>
    <w:rsid w:val="00F12A54"/>
    <w:rsid w:val="00F12D24"/>
    <w:rsid w:val="00F22BA7"/>
    <w:rsid w:val="00F46D13"/>
    <w:rsid w:val="00F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109D"/>
    <w:pPr>
      <w:ind w:left="720"/>
      <w:contextualSpacing/>
    </w:pPr>
  </w:style>
  <w:style w:type="paragraph" w:customStyle="1" w:styleId="Default">
    <w:name w:val="Default"/>
    <w:rsid w:val="00C81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C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0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63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3725"/>
  </w:style>
  <w:style w:type="paragraph" w:styleId="aa">
    <w:name w:val="footer"/>
    <w:basedOn w:val="a"/>
    <w:link w:val="ab"/>
    <w:uiPriority w:val="99"/>
    <w:unhideWhenUsed/>
    <w:rsid w:val="00763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3725"/>
  </w:style>
  <w:style w:type="paragraph" w:styleId="ac">
    <w:name w:val="Normal (Web)"/>
    <w:basedOn w:val="a"/>
    <w:uiPriority w:val="99"/>
    <w:semiHidden/>
    <w:unhideWhenUsed/>
    <w:rsid w:val="0042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109D"/>
    <w:pPr>
      <w:ind w:left="720"/>
      <w:contextualSpacing/>
    </w:pPr>
  </w:style>
  <w:style w:type="paragraph" w:customStyle="1" w:styleId="Default">
    <w:name w:val="Default"/>
    <w:rsid w:val="00C81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C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0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63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3725"/>
  </w:style>
  <w:style w:type="paragraph" w:styleId="aa">
    <w:name w:val="footer"/>
    <w:basedOn w:val="a"/>
    <w:link w:val="ab"/>
    <w:uiPriority w:val="99"/>
    <w:unhideWhenUsed/>
    <w:rsid w:val="00763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3725"/>
  </w:style>
  <w:style w:type="paragraph" w:styleId="ac">
    <w:name w:val="Normal (Web)"/>
    <w:basedOn w:val="a"/>
    <w:uiPriority w:val="99"/>
    <w:semiHidden/>
    <w:unhideWhenUsed/>
    <w:rsid w:val="0042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7;&#1079;&#1091;&#1083;&#1100;&#1090;&#1072;&#1090;&#1099;\&#1056;&#1077;&#1079;&#1091;&#1083;&#1100;&#1090;&#1072;&#1090;&#1099;%20&#1084;&#1086;&#1085;&#1080;&#1090;&#1086;&#1088;&#1080;&#1085;&#1075;&#1072;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7;&#1079;&#1091;&#1083;&#1100;&#1090;&#1072;&#1090;&#1099;\&#1056;&#1077;&#1079;&#1091;&#1083;&#1100;&#1090;&#1072;&#1090;&#1099;%20&#1084;&#1086;&#1085;&#1080;&#1090;&#1086;&#1088;&#1080;&#1085;&#1075;&#1072;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7;&#1079;&#1091;&#1083;&#1100;&#1090;&#1072;&#1090;&#1099;\&#1056;&#1077;&#1079;&#1091;&#1083;&#1100;&#1090;&#1072;&#1090;&#1099;%20&#1084;&#1086;&#1085;&#1080;&#1090;&#1086;&#1088;&#1080;&#1085;&#1075;&#1072;%20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7;&#1079;&#1091;&#1083;&#1100;&#1090;&#1072;&#1090;&#1099;\&#1056;&#1077;&#1079;&#1091;&#1083;&#1100;&#1090;&#1072;&#1090;&#1099;%20&#1084;&#1086;&#1085;&#1080;&#1090;&#1086;&#1088;&#1080;&#1085;&#1075;&#1072;%2020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7;&#1079;&#1091;&#1083;&#1100;&#1090;&#1072;&#1090;&#1099;\&#1056;&#1077;&#1079;&#1091;&#1083;&#1100;&#1090;&#1072;&#1090;&#1099;%20&#1084;&#1086;&#1085;&#1080;&#1090;&#1086;&#1088;&#1080;&#1085;&#1075;&#1072;%2020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7;&#1079;&#1091;&#1083;&#1100;&#1090;&#1072;&#1090;&#1099;\&#1056;&#1077;&#1079;&#1091;&#1083;&#1100;&#1090;&#1072;&#1090;&#1099;%20&#1084;&#1086;&#1085;&#1080;&#1090;&#1086;&#1088;&#1080;&#1085;&#1075;&#1072;%20202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7;&#1079;&#1091;&#1083;&#1100;&#1090;&#1072;&#1090;&#1099;\&#1056;&#1077;&#1079;&#1091;&#1083;&#1100;&#1090;&#1072;&#1090;&#1099;%20&#1084;&#1086;&#1085;&#1080;&#1090;&#1086;&#1088;&#1080;&#1085;&#1075;&#1072;%20202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7;&#1079;&#1091;&#1083;&#1100;&#1090;&#1072;&#1090;&#1099;\&#1056;&#1077;&#1079;&#1091;&#1083;&#1100;&#1090;&#1072;&#1090;&#1099;%20&#1084;&#1086;&#1085;&#1080;&#1090;&#1086;&#1088;&#1080;&#1085;&#1075;&#1072;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131933508311459"/>
          <c:y val="0.2262729658792651"/>
          <c:w val="0.46402799650043747"/>
          <c:h val="0.77337999416739578"/>
        </c:manualLayout>
      </c:layout>
      <c:pieChart>
        <c:varyColors val="1"/>
        <c:ser>
          <c:idx val="0"/>
          <c:order val="0"/>
          <c:dLbls>
            <c:dLbl>
              <c:idx val="0"/>
              <c:spPr/>
              <c:txPr>
                <a:bodyPr/>
                <a:lstStyle/>
                <a:p>
                  <a:pPr>
                    <a:defRPr sz="9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9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8821850393700784E-2"/>
                  <c:y val="-5.994568387284923E-2"/>
                </c:manualLayout>
              </c:layout>
              <c:spPr/>
              <c:txPr>
                <a:bodyPr/>
                <a:lstStyle/>
                <a:p>
                  <a:pPr>
                    <a:defRPr sz="900" b="1"/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F95-467D-BFC1-3BB3B291103C}"/>
                </c:ext>
              </c:extLst>
            </c:dLbl>
            <c:dLbl>
              <c:idx val="3"/>
              <c:layout>
                <c:manualLayout>
                  <c:x val="-4.6410761154855639E-3"/>
                  <c:y val="2.3717191601049868E-2"/>
                </c:manualLayout>
              </c:layout>
              <c:spPr/>
              <c:txPr>
                <a:bodyPr/>
                <a:lstStyle/>
                <a:p>
                  <a:pPr>
                    <a:defRPr sz="900" b="1"/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F95-467D-BFC1-3BB3B291103C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900" b="1"/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Лист1!$G$428:$G$432</c:f>
              <c:strCache>
                <c:ptCount val="5"/>
                <c:pt idx="0">
                  <c:v>Учителя русского языка</c:v>
                </c:pt>
                <c:pt idx="1">
                  <c:v>Учителя математики</c:v>
                </c:pt>
                <c:pt idx="2">
                  <c:v>Учителя обществознания</c:v>
                </c:pt>
                <c:pt idx="3">
                  <c:v>Учителя биологии</c:v>
                </c:pt>
                <c:pt idx="4">
                  <c:v>Учителя химии</c:v>
                </c:pt>
              </c:strCache>
            </c:strRef>
          </c:cat>
          <c:val>
            <c:numRef>
              <c:f>Лист1!$H$428:$H$432</c:f>
              <c:numCache>
                <c:formatCode>0.00%</c:formatCode>
                <c:ptCount val="5"/>
                <c:pt idx="0">
                  <c:v>0.32700000000000001</c:v>
                </c:pt>
                <c:pt idx="1">
                  <c:v>0.26300000000000001</c:v>
                </c:pt>
                <c:pt idx="2">
                  <c:v>0.185</c:v>
                </c:pt>
                <c:pt idx="3">
                  <c:v>0.128</c:v>
                </c:pt>
                <c:pt idx="4">
                  <c:v>0.10199999999999999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F95-467D-BFC1-3BB3B291103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Стаж участников исследования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7,5%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17C-44C7-9D0C-3B1F8D3BDEB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17C-44C7-9D0C-3B1F8D3BDEB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12,6%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17C-44C7-9D0C-3B1F8D3BDEBE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15,8%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17C-44C7-9D0C-3B1F8D3BDEBE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23,3%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17C-44C7-9D0C-3B1F8D3BDEBE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24,5%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17C-44C7-9D0C-3B1F8D3BDEBE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7,7%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E17C-44C7-9D0C-3B1F8D3BDEB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Лист1!$D$433:$D$439</c:f>
              <c:strCache>
                <c:ptCount val="7"/>
                <c:pt idx="0">
                  <c:v>1-2 года</c:v>
                </c:pt>
                <c:pt idx="1">
                  <c:v>3-5 лет</c:v>
                </c:pt>
                <c:pt idx="2">
                  <c:v>6-10 лет</c:v>
                </c:pt>
                <c:pt idx="3">
                  <c:v>11-20 лет</c:v>
                </c:pt>
                <c:pt idx="4">
                  <c:v>21-30 лет</c:v>
                </c:pt>
                <c:pt idx="5">
                  <c:v>31-40 лет</c:v>
                </c:pt>
                <c:pt idx="6">
                  <c:v>41-57 лет</c:v>
                </c:pt>
              </c:strCache>
            </c:strRef>
          </c:cat>
          <c:val>
            <c:numRef>
              <c:f>Лист1!$E$433:$E$439</c:f>
              <c:numCache>
                <c:formatCode>0.00%</c:formatCode>
                <c:ptCount val="7"/>
                <c:pt idx="0">
                  <c:v>7.4999999999999997E-2</c:v>
                </c:pt>
                <c:pt idx="1">
                  <c:v>8.5999999999999993E-2</c:v>
                </c:pt>
                <c:pt idx="2">
                  <c:v>0.126</c:v>
                </c:pt>
                <c:pt idx="3">
                  <c:v>0.158</c:v>
                </c:pt>
                <c:pt idx="4">
                  <c:v>0.23300000000000001</c:v>
                </c:pt>
                <c:pt idx="5">
                  <c:v>0.245</c:v>
                </c:pt>
                <c:pt idx="6">
                  <c:v>7.6999999999999999E-2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17C-44C7-9D0C-3B1F8D3BDEB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992896"/>
        <c:axId val="37012224"/>
      </c:barChart>
      <c:catAx>
        <c:axId val="369928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7012224"/>
        <c:crosses val="autoZero"/>
        <c:auto val="1"/>
        <c:lblAlgn val="ctr"/>
        <c:lblOffset val="100"/>
        <c:noMultiLvlLbl val="0"/>
      </c:catAx>
      <c:valAx>
        <c:axId val="37012224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369928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Состав участников по наличию кв. категории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8715966754155732"/>
          <c:y val="0.18842592592592591"/>
          <c:w val="0.51284033245844274"/>
          <c:h val="0.76064814814814818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050" b="1"/>
                      <a:t>13,5%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90C-4D80-B695-5620CAC9EEA9}"/>
                </c:ext>
              </c:extLst>
            </c:dLbl>
            <c:dLbl>
              <c:idx val="1"/>
              <c:layout>
                <c:manualLayout>
                  <c:x val="0"/>
                  <c:y val="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32,7%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90C-4D80-B695-5620CAC9EEA9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050" b="1"/>
                      <a:t>22,7%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90C-4D80-B695-5620CAC9EE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Лист1!$D$442:$D$445</c:f>
              <c:strCache>
                <c:ptCount val="4"/>
                <c:pt idx="0">
                  <c:v>Без категории</c:v>
                </c:pt>
                <c:pt idx="1">
                  <c:v>Соответствие занимаемой должности</c:v>
                </c:pt>
                <c:pt idx="2">
                  <c:v>Первая квал. категория</c:v>
                </c:pt>
                <c:pt idx="3">
                  <c:v>Высшая квалиф. категория</c:v>
                </c:pt>
              </c:strCache>
            </c:strRef>
          </c:cat>
          <c:val>
            <c:numRef>
              <c:f>Лист1!$E$442:$E$445</c:f>
              <c:numCache>
                <c:formatCode>0.00%</c:formatCode>
                <c:ptCount val="4"/>
                <c:pt idx="0">
                  <c:v>0.13500000000000001</c:v>
                </c:pt>
                <c:pt idx="1">
                  <c:v>0.32700000000000001</c:v>
                </c:pt>
                <c:pt idx="2" formatCode="0%">
                  <c:v>0.31</c:v>
                </c:pt>
                <c:pt idx="3">
                  <c:v>0.22700000000000001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90C-4D80-B695-5620CAC9EE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7037568"/>
        <c:axId val="37044608"/>
      </c:barChart>
      <c:catAx>
        <c:axId val="3703756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37044608"/>
        <c:crosses val="autoZero"/>
        <c:auto val="1"/>
        <c:lblAlgn val="ctr"/>
        <c:lblOffset val="100"/>
        <c:noMultiLvlLbl val="0"/>
      </c:catAx>
      <c:valAx>
        <c:axId val="37044608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3703756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050" b="0"/>
            </a:pPr>
            <a:r>
              <a:rPr lang="ru-RU" sz="1050" b="0"/>
              <a:t>Общий результат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82,4%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69,4%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65,8%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Лист1!$C$469:$C$473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Биология</c:v>
                </c:pt>
                <c:pt idx="4">
                  <c:v>Химия</c:v>
                </c:pt>
              </c:strCache>
            </c:strRef>
          </c:cat>
          <c:val>
            <c:numRef>
              <c:f>Лист1!$D$469:$D$473</c:f>
              <c:numCache>
                <c:formatCode>0.00%</c:formatCode>
                <c:ptCount val="5"/>
                <c:pt idx="0">
                  <c:v>0.82399999999999995</c:v>
                </c:pt>
                <c:pt idx="1">
                  <c:v>0.69399999999999995</c:v>
                </c:pt>
                <c:pt idx="2" formatCode="0%">
                  <c:v>0.64</c:v>
                </c:pt>
                <c:pt idx="3">
                  <c:v>0.65800000000000003</c:v>
                </c:pt>
                <c:pt idx="4" formatCode="0%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96-4269-80D6-2A391CD561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8113024"/>
        <c:axId val="124413440"/>
      </c:barChart>
      <c:catAx>
        <c:axId val="7811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b="0"/>
            </a:pPr>
            <a:endParaRPr lang="ru-RU"/>
          </a:p>
        </c:txPr>
        <c:crossAx val="124413440"/>
        <c:crosses val="autoZero"/>
        <c:auto val="1"/>
        <c:lblAlgn val="ctr"/>
        <c:lblOffset val="100"/>
        <c:noMultiLvlLbl val="0"/>
      </c:catAx>
      <c:valAx>
        <c:axId val="12441344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78113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050" b="0"/>
            </a:pPr>
            <a:r>
              <a:rPr lang="ru-RU" sz="1050" b="0"/>
              <a:t>Предметные компетенции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Лист1!$E$469:$E$473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Биология</c:v>
                </c:pt>
                <c:pt idx="4">
                  <c:v>Химия</c:v>
                </c:pt>
              </c:strCache>
            </c:strRef>
          </c:cat>
          <c:val>
            <c:numRef>
              <c:f>Лист1!$F$469:$F$473</c:f>
              <c:numCache>
                <c:formatCode>0%</c:formatCode>
                <c:ptCount val="5"/>
                <c:pt idx="0">
                  <c:v>0.86</c:v>
                </c:pt>
                <c:pt idx="1">
                  <c:v>0.83</c:v>
                </c:pt>
                <c:pt idx="2">
                  <c:v>0.68</c:v>
                </c:pt>
                <c:pt idx="3">
                  <c:v>0.71</c:v>
                </c:pt>
                <c:pt idx="4">
                  <c:v>0.72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FC-4432-AED1-37D7467BBD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8214656"/>
        <c:axId val="78275712"/>
      </c:barChart>
      <c:catAx>
        <c:axId val="7821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8275712"/>
        <c:crosses val="autoZero"/>
        <c:auto val="1"/>
        <c:lblAlgn val="ctr"/>
        <c:lblOffset val="100"/>
        <c:noMultiLvlLbl val="0"/>
      </c:catAx>
      <c:valAx>
        <c:axId val="7827571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78214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050" b="0"/>
            </a:pPr>
            <a:r>
              <a:rPr lang="ru-RU" sz="1050" b="0"/>
              <a:t>Методические компетенции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67,3%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56,7%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Лист1!$G$469:$G$473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Биология</c:v>
                </c:pt>
                <c:pt idx="4">
                  <c:v>Химия</c:v>
                </c:pt>
              </c:strCache>
            </c:strRef>
          </c:cat>
          <c:val>
            <c:numRef>
              <c:f>Лист1!$H$469:$H$473</c:f>
              <c:numCache>
                <c:formatCode>0%</c:formatCode>
                <c:ptCount val="5"/>
                <c:pt idx="0" formatCode="0.00%">
                  <c:v>0.67300000000000004</c:v>
                </c:pt>
                <c:pt idx="1">
                  <c:v>0.19</c:v>
                </c:pt>
                <c:pt idx="2">
                  <c:v>0.44</c:v>
                </c:pt>
                <c:pt idx="3" formatCode="0.00%">
                  <c:v>0.56699999999999995</c:v>
                </c:pt>
                <c:pt idx="4">
                  <c:v>0.41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E5-426A-AFAC-E876DDC879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4208256"/>
        <c:axId val="124415360"/>
      </c:barChart>
      <c:catAx>
        <c:axId val="12420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24415360"/>
        <c:crosses val="autoZero"/>
        <c:auto val="1"/>
        <c:lblAlgn val="ctr"/>
        <c:lblOffset val="100"/>
        <c:noMultiLvlLbl val="0"/>
      </c:catAx>
      <c:valAx>
        <c:axId val="12441536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2420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/>
            </a:pPr>
            <a:r>
              <a:rPr lang="ru-RU" sz="1000" b="0"/>
              <a:t>Распределение участников по уровням владения компетенциями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8.9358048993875797E-2"/>
          <c:y val="0.23249562554680664"/>
          <c:w val="0.44906189851268596"/>
          <c:h val="0.74843649752114327"/>
        </c:manualLayout>
      </c:layout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Лист1!$E$498:$I$498</c:f>
              <c:strCache>
                <c:ptCount val="5"/>
                <c:pt idx="0">
                  <c:v>Низкий уровень</c:v>
                </c:pt>
                <c:pt idx="1">
                  <c:v>Удовлетворительный уровень</c:v>
                </c:pt>
                <c:pt idx="2">
                  <c:v>Базовый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Лист1!$E$499:$I$499</c:f>
              <c:numCache>
                <c:formatCode>0.00%</c:formatCode>
                <c:ptCount val="5"/>
                <c:pt idx="0">
                  <c:v>2.7E-2</c:v>
                </c:pt>
                <c:pt idx="1">
                  <c:v>0.19600000000000001</c:v>
                </c:pt>
                <c:pt idx="2">
                  <c:v>0.186</c:v>
                </c:pt>
                <c:pt idx="3">
                  <c:v>0.27500000000000002</c:v>
                </c:pt>
                <c:pt idx="4">
                  <c:v>0.316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61718460192475944"/>
          <c:y val="0.20358814523184601"/>
          <c:w val="0.35451968503937009"/>
          <c:h val="0.6967683727034120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Доля учителей-предметников по уровням владения компетенциями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3.0555555555555555E-2"/>
          <c:y val="0.2253714639836687"/>
          <c:w val="0.93888888888888888"/>
          <c:h val="0.644844706911636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Лист1!$D$492</c:f>
              <c:strCache>
                <c:ptCount val="1"/>
                <c:pt idx="0">
                  <c:v>Учителя русского языка</c:v>
                </c:pt>
              </c:strCache>
            </c:strRef>
          </c:tx>
          <c:invertIfNegative val="0"/>
          <c:cat>
            <c:strRef>
              <c:f>Лист1!$E$491:$I$491</c:f>
              <c:strCache>
                <c:ptCount val="5"/>
                <c:pt idx="0">
                  <c:v>Низкий уровень</c:v>
                </c:pt>
                <c:pt idx="1">
                  <c:v>Удовлетворительный уровень</c:v>
                </c:pt>
                <c:pt idx="2">
                  <c:v>Базовый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Лист1!$E$492:$I$492</c:f>
              <c:numCache>
                <c:formatCode>General</c:formatCode>
                <c:ptCount val="5"/>
                <c:pt idx="0">
                  <c:v>0.8</c:v>
                </c:pt>
                <c:pt idx="1">
                  <c:v>7.5</c:v>
                </c:pt>
                <c:pt idx="2">
                  <c:v>5.3</c:v>
                </c:pt>
                <c:pt idx="3">
                  <c:v>17.3</c:v>
                </c:pt>
                <c:pt idx="4">
                  <c:v>69.2</c:v>
                </c:pt>
              </c:numCache>
            </c:numRef>
          </c:val>
        </c:ser>
        <c:ser>
          <c:idx val="1"/>
          <c:order val="1"/>
          <c:tx>
            <c:strRef>
              <c:f>Лист1!$D$493</c:f>
              <c:strCache>
                <c:ptCount val="1"/>
                <c:pt idx="0">
                  <c:v>Учителя математики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Лист1!$E$491:$I$491</c:f>
              <c:strCache>
                <c:ptCount val="5"/>
                <c:pt idx="0">
                  <c:v>Низкий уровень</c:v>
                </c:pt>
                <c:pt idx="1">
                  <c:v>Удовлетворительный уровень</c:v>
                </c:pt>
                <c:pt idx="2">
                  <c:v>Базовый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Лист1!$E$493:$I$493</c:f>
              <c:numCache>
                <c:formatCode>General</c:formatCode>
                <c:ptCount val="5"/>
                <c:pt idx="0">
                  <c:v>0.9</c:v>
                </c:pt>
                <c:pt idx="1">
                  <c:v>17.399999999999999</c:v>
                </c:pt>
                <c:pt idx="2">
                  <c:v>20.3</c:v>
                </c:pt>
                <c:pt idx="3">
                  <c:v>49.5</c:v>
                </c:pt>
                <c:pt idx="4">
                  <c:v>11.9</c:v>
                </c:pt>
              </c:numCache>
            </c:numRef>
          </c:val>
        </c:ser>
        <c:ser>
          <c:idx val="2"/>
          <c:order val="2"/>
          <c:tx>
            <c:strRef>
              <c:f>Лист1!$D$494</c:f>
              <c:strCache>
                <c:ptCount val="1"/>
                <c:pt idx="0">
                  <c:v>Учителя обществознания</c:v>
                </c:pt>
              </c:strCache>
            </c:strRef>
          </c:tx>
          <c:invertIfNegative val="0"/>
          <c:cat>
            <c:strRef>
              <c:f>Лист1!$E$491:$I$491</c:f>
              <c:strCache>
                <c:ptCount val="5"/>
                <c:pt idx="0">
                  <c:v>Низкий уровень</c:v>
                </c:pt>
                <c:pt idx="1">
                  <c:v>Удовлетворительный уровень</c:v>
                </c:pt>
                <c:pt idx="2">
                  <c:v>Базовый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Лист1!$E$494:$I$494</c:f>
              <c:numCache>
                <c:formatCode>General</c:formatCode>
                <c:ptCount val="5"/>
                <c:pt idx="0">
                  <c:v>1.3</c:v>
                </c:pt>
                <c:pt idx="1">
                  <c:v>32</c:v>
                </c:pt>
                <c:pt idx="2">
                  <c:v>33.299999999999997</c:v>
                </c:pt>
                <c:pt idx="3">
                  <c:v>25.6</c:v>
                </c:pt>
                <c:pt idx="4">
                  <c:v>7.7</c:v>
                </c:pt>
              </c:numCache>
            </c:numRef>
          </c:val>
        </c:ser>
        <c:ser>
          <c:idx val="3"/>
          <c:order val="3"/>
          <c:tx>
            <c:strRef>
              <c:f>Лист1!$D$495</c:f>
              <c:strCache>
                <c:ptCount val="1"/>
                <c:pt idx="0">
                  <c:v>Учителя биологии</c:v>
                </c:pt>
              </c:strCache>
            </c:strRef>
          </c:tx>
          <c:invertIfNegative val="0"/>
          <c:cat>
            <c:strRef>
              <c:f>Лист1!$E$491:$I$491</c:f>
              <c:strCache>
                <c:ptCount val="5"/>
                <c:pt idx="0">
                  <c:v>Низкий уровень</c:v>
                </c:pt>
                <c:pt idx="1">
                  <c:v>Удовлетворительный уровень</c:v>
                </c:pt>
                <c:pt idx="2">
                  <c:v>Базовый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Лист1!$E$495:$I$495</c:f>
              <c:numCache>
                <c:formatCode>General</c:formatCode>
                <c:ptCount val="5"/>
                <c:pt idx="0">
                  <c:v>13.2</c:v>
                </c:pt>
                <c:pt idx="1">
                  <c:v>17</c:v>
                </c:pt>
                <c:pt idx="2">
                  <c:v>24.5</c:v>
                </c:pt>
                <c:pt idx="3">
                  <c:v>20.8</c:v>
                </c:pt>
                <c:pt idx="4">
                  <c:v>24.5</c:v>
                </c:pt>
              </c:numCache>
            </c:numRef>
          </c:val>
        </c:ser>
        <c:ser>
          <c:idx val="4"/>
          <c:order val="4"/>
          <c:tx>
            <c:strRef>
              <c:f>Лист1!$D$496</c:f>
              <c:strCache>
                <c:ptCount val="1"/>
                <c:pt idx="0">
                  <c:v>Учителя химии</c:v>
                </c:pt>
              </c:strCache>
            </c:strRef>
          </c:tx>
          <c:invertIfNegative val="0"/>
          <c:cat>
            <c:strRef>
              <c:f>Лист1!$E$491:$I$491</c:f>
              <c:strCache>
                <c:ptCount val="5"/>
                <c:pt idx="0">
                  <c:v>Низкий уровень</c:v>
                </c:pt>
                <c:pt idx="1">
                  <c:v>Удовлетворительный уровень</c:v>
                </c:pt>
                <c:pt idx="2">
                  <c:v>Базовый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Лист1!$E$496:$I$496</c:f>
              <c:numCache>
                <c:formatCode>General</c:formatCode>
                <c:ptCount val="5"/>
                <c:pt idx="0">
                  <c:v>2.4</c:v>
                </c:pt>
                <c:pt idx="1">
                  <c:v>43.9</c:v>
                </c:pt>
                <c:pt idx="2">
                  <c:v>22</c:v>
                </c:pt>
                <c:pt idx="3">
                  <c:v>14.6</c:v>
                </c:pt>
                <c:pt idx="4">
                  <c:v>17.100000000000001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9124096"/>
        <c:axId val="160145792"/>
      </c:barChart>
      <c:catAx>
        <c:axId val="15912409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60145792"/>
        <c:crosses val="autoZero"/>
        <c:auto val="1"/>
        <c:lblAlgn val="ctr"/>
        <c:lblOffset val="100"/>
        <c:noMultiLvlLbl val="0"/>
      </c:catAx>
      <c:valAx>
        <c:axId val="1601457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9124096"/>
        <c:crosses val="autoZero"/>
        <c:crossBetween val="between"/>
      </c:valAx>
    </c:plotArea>
    <c:legend>
      <c:legendPos val="t"/>
      <c:layout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13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2021-05-28T01:24:00Z</dcterms:created>
  <dcterms:modified xsi:type="dcterms:W3CDTF">2021-06-02T07:59:00Z</dcterms:modified>
</cp:coreProperties>
</file>