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E1" w:rsidRDefault="000D69E1" w:rsidP="000D69E1">
      <w:pPr>
        <w:pStyle w:val="a3"/>
        <w:spacing w:line="360" w:lineRule="auto"/>
        <w:jc w:val="center"/>
      </w:pPr>
      <w:r w:rsidRPr="003F258E">
        <w:rPr>
          <w:b/>
          <w:bCs/>
        </w:rPr>
        <w:t>Экспертное заключение</w:t>
      </w:r>
    </w:p>
    <w:p w:rsidR="000D69E1" w:rsidRDefault="000D69E1" w:rsidP="000D69E1">
      <w:pPr>
        <w:spacing w:line="360" w:lineRule="auto"/>
        <w:jc w:val="center"/>
      </w:pPr>
      <w:r>
        <w:rPr>
          <w:b/>
          <w:bCs/>
        </w:rPr>
        <w:t>о качестве оказания услуг государственных и муниципальных учреждений</w:t>
      </w:r>
    </w:p>
    <w:p w:rsidR="000D69E1" w:rsidRDefault="000D69E1" w:rsidP="000D69E1">
      <w:pPr>
        <w:spacing w:line="360" w:lineRule="auto"/>
        <w:jc w:val="center"/>
      </w:pPr>
      <w:r>
        <w:rPr>
          <w:b/>
          <w:bCs/>
        </w:rPr>
        <w:t xml:space="preserve">Муниципальное бюджетное учреждение культуры «Районный Дом культуры им. </w:t>
      </w:r>
      <w:proofErr w:type="spellStart"/>
      <w:r>
        <w:rPr>
          <w:b/>
          <w:bCs/>
        </w:rPr>
        <w:t>Нариманова</w:t>
      </w:r>
      <w:proofErr w:type="spellEnd"/>
      <w:r>
        <w:rPr>
          <w:b/>
          <w:bCs/>
        </w:rPr>
        <w:t>» Шатурского муниципального района Московской области</w:t>
      </w:r>
    </w:p>
    <w:p w:rsidR="000D69E1" w:rsidRDefault="000D69E1" w:rsidP="000D69E1">
      <w:pPr>
        <w:spacing w:line="360" w:lineRule="auto"/>
      </w:pPr>
      <w:r>
        <w:t>Используемые источники информации для анализа:</w:t>
      </w:r>
    </w:p>
    <w:p w:rsidR="000D69E1" w:rsidRDefault="000D69E1" w:rsidP="000D69E1">
      <w:pPr>
        <w:numPr>
          <w:ilvl w:val="0"/>
          <w:numId w:val="3"/>
        </w:numPr>
        <w:suppressAutoHyphens w:val="0"/>
        <w:spacing w:after="160" w:line="360" w:lineRule="auto"/>
      </w:pPr>
      <w:r>
        <w:t>Сайт организаций;</w:t>
      </w:r>
    </w:p>
    <w:p w:rsidR="000D69E1" w:rsidRDefault="000D69E1" w:rsidP="000D69E1">
      <w:pPr>
        <w:numPr>
          <w:ilvl w:val="0"/>
          <w:numId w:val="3"/>
        </w:numPr>
        <w:suppressAutoHyphens w:val="0"/>
        <w:spacing w:after="160" w:line="360" w:lineRule="auto"/>
      </w:pPr>
      <w:r>
        <w:t>Стенды в организации;</w:t>
      </w:r>
    </w:p>
    <w:p w:rsidR="000D69E1" w:rsidRDefault="000D69E1" w:rsidP="000D69E1">
      <w:pPr>
        <w:numPr>
          <w:ilvl w:val="0"/>
          <w:numId w:val="3"/>
        </w:numPr>
        <w:suppressAutoHyphens w:val="0"/>
        <w:spacing w:after="160" w:line="360" w:lineRule="auto"/>
      </w:pPr>
      <w:r>
        <w:t>Результаты опроса получателей услуг.</w:t>
      </w:r>
    </w:p>
    <w:p w:rsidR="000D69E1" w:rsidRDefault="000D69E1" w:rsidP="000D69E1">
      <w:pPr>
        <w:spacing w:line="360" w:lineRule="auto"/>
        <w:jc w:val="center"/>
      </w:pPr>
      <w:r>
        <w:rPr>
          <w:b/>
          <w:bCs/>
        </w:rPr>
        <w:t>Результаты экспертной оценки</w:t>
      </w:r>
    </w:p>
    <w:tbl>
      <w:tblPr>
        <w:tblW w:w="0" w:type="auto"/>
        <w:tblInd w:w="70" w:type="dxa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000"/>
        <w:gridCol w:w="5000"/>
        <w:gridCol w:w="1500"/>
        <w:gridCol w:w="1500"/>
      </w:tblGrid>
      <w:tr w:rsidR="000D69E1" w:rsidTr="00B1481A">
        <w:tc>
          <w:tcPr>
            <w:tcW w:w="6000" w:type="dxa"/>
            <w:gridSpan w:val="2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Критерии, показатели, позиции оценивания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Единица измерения (значение критерия, показателя)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Итоговая оценка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Открытость и доступность информации об организации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98.29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proofErr w:type="gramStart"/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95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Наличие на официальном сайте организации информации о дистанционных способах обратной связи и взаимодействия с получателями услуг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100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99.47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Комфортность условий предоставления услуг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99.83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Обеспечение в организации комфортных условий для предоставления услуг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100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комфортностью условий предоставления услуг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99.7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Доступность услуг для инвалидов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77.85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Оборудование территории, прилегающей к организац</w:t>
            </w:r>
            <w:proofErr w:type="gramStart"/>
            <w:r>
              <w:t>ии и ее</w:t>
            </w:r>
            <w:proofErr w:type="gramEnd"/>
            <w:r>
              <w:t xml:space="preserve"> помещений с учетом доступности услуг для инвалидов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80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60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доступностью услуг для инвалидов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 - инвалидов)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99.51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Доброжелательность, вежливость работников организации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99.58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4.1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99.3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4.2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99.74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4.3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99.82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Удовлетворенность условиями оказания услуги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99.36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99.38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5.2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графиком работы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99.3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5.3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Доля получателей услуг, удовлетворенных в целом условиями оказания услуг в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</w:t>
            </w:r>
            <w:r>
              <w:lastRenderedPageBreak/>
              <w:t>опрошенных получателей услуг)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lastRenderedPageBreak/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99.38</w:t>
            </w:r>
          </w:p>
        </w:tc>
      </w:tr>
      <w:tr w:rsidR="000D69E1" w:rsidTr="00B1481A">
        <w:tc>
          <w:tcPr>
            <w:tcW w:w="1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 xml:space="preserve"> 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Интегральное значение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0-100 баллов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jc w:val="center"/>
              <w:rPr>
                <w:rFonts w:ascii="Arial" w:eastAsia="Arial" w:hAnsi="Arial" w:cs="Arial"/>
              </w:rPr>
            </w:pPr>
            <w:r>
              <w:t>94.98</w:t>
            </w:r>
          </w:p>
        </w:tc>
      </w:tr>
    </w:tbl>
    <w:p w:rsidR="000D69E1" w:rsidRDefault="000D69E1" w:rsidP="000D69E1"/>
    <w:p w:rsidR="000D69E1" w:rsidRDefault="000D69E1" w:rsidP="000D69E1"/>
    <w:p w:rsidR="000D69E1" w:rsidRDefault="000D69E1" w:rsidP="000D69E1">
      <w:pPr>
        <w:spacing w:line="600" w:lineRule="auto"/>
        <w:jc w:val="center"/>
      </w:pPr>
      <w:r>
        <w:rPr>
          <w:b/>
          <w:bCs/>
        </w:rPr>
        <w:t>Итоговая ведомость</w:t>
      </w:r>
    </w:p>
    <w:tbl>
      <w:tblPr>
        <w:tblW w:w="0" w:type="auto"/>
        <w:tblCellSpacing w:w="190" w:type="dxa"/>
        <w:tblInd w:w="485" w:type="dxa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7058"/>
        <w:gridCol w:w="2372"/>
        <w:gridCol w:w="1260"/>
      </w:tblGrid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 xml:space="preserve">Интегральное значение независимой </w:t>
            </w:r>
            <w:proofErr w:type="gramStart"/>
            <w:r w:rsidRPr="000D58B4">
              <w:rPr>
                <w:b/>
                <w:bCs/>
              </w:rPr>
              <w:t>оценки качества условий оказания услуг</w:t>
            </w:r>
            <w:proofErr w:type="gramEnd"/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94.982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1. Открытость и доступность информации об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98.288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1.1. </w:t>
            </w:r>
            <w:proofErr w:type="gramStart"/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  <w:proofErr w:type="gramEnd"/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95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1.1.1. на информационных стендах в помещениях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1.1.2. на официальном сайте организации в информационно-телекоммуникационной сети "Интернет"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100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 Наличие на официальном сайте организации информации о дистанционных способах обратной связи и взаимодействия с получателями услуг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100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1.2.1. телефона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1.2.2. электронной почты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1.2.3. 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1.2.4. раздел "Часто задаваемые вопросы"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1.2.5. возможности получения консультации по оказываемым услугам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1.2.6.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99.645704162976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1.3.1. доля получателей услуг, удовлетворенных открытостью, полнотой и доступностью информации о деятельности организации, размещенной на </w:t>
            </w:r>
            <w:r>
              <w:lastRenderedPageBreak/>
              <w:t>информационных стендах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99.645704162976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1.3.2. доля получателей услуг, удовлетворенных открытостью, полнотой и доступностью информации о деятельности организации, размещенной на сайте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99.466980195367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2. Комфортность условий предоставления услуг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99.825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 Обеспечение в организации комфортных условий для предоставления услуг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100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2.1.1. наличие комфортной зоны отдыха (ожидания), оборудованной соответствующей мебелью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2.1.2. наличие и понятность навигации внутри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2.1.3. наличие и доступность питьевой воды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2.1.4. наличие и доступность санитарно-гигиенических помещений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2.1.5. санитарное состояние помещений организаций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2.1.6. возможность бронирования услуги/доступность </w:t>
            </w:r>
            <w:r>
              <w:lastRenderedPageBreak/>
              <w:t>записи на получение услуги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lastRenderedPageBreak/>
              <w:t>2.2. Доля получателей услуг, удовлетворенных комфортностью условий предоставления услуг (</w:t>
            </w:r>
            <w:proofErr w:type="gramStart"/>
            <w:r w:rsidRPr="000D58B4">
              <w:rPr>
                <w:b/>
                <w:bCs/>
              </w:rPr>
              <w:t>в</w:t>
            </w:r>
            <w:proofErr w:type="gramEnd"/>
            <w:r w:rsidRPr="000D58B4">
              <w:rPr>
                <w:b/>
                <w:bCs/>
              </w:rPr>
              <w:t xml:space="preserve"> %</w:t>
            </w:r>
            <w:proofErr w:type="gramStart"/>
            <w:r w:rsidRPr="000D58B4">
              <w:rPr>
                <w:b/>
                <w:bCs/>
              </w:rPr>
              <w:t>от</w:t>
            </w:r>
            <w:proofErr w:type="gramEnd"/>
            <w:r w:rsidRPr="000D58B4">
              <w:rPr>
                <w:b/>
                <w:bCs/>
              </w:rP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99.7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 Доступность услуг для инвалидов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77.853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80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3.1.1. оборудование входных групп пандусами (подъемными платформами)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3.1.2. наличие выделенных стоянок для автотранспортных средств инвалидов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3.1.3. наличие адаптированных лифтов, поручней, расширенных дверных проемов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3.1.4. наличие сменных кресел-колясок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3.1.5. наличие специально оборудованных санитарно-гигиенических помещений в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3.2. Обеспечение в организации условий доступности, </w:t>
            </w:r>
            <w:r>
              <w:lastRenderedPageBreak/>
              <w:t>позволяющих инвалидам получать услуги наравне с другими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60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3.2.1. дублирование для инвалидов по слуху и зрению звуковой и зрительной информации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3.2.2.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 xml:space="preserve">3.2.3. возможность предоставления инвалидам по слуху (слуху и зрению) услуг </w:t>
            </w:r>
            <w:proofErr w:type="spellStart"/>
            <w:r>
              <w:t>сурдопереводчика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тифлосурдопереводчика</w:t>
            </w:r>
            <w:proofErr w:type="spellEnd"/>
            <w:r>
              <w:t>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3.2.4. наличие альтернативной версии сайта организации для инвалидов по зрению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3.2.5.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3.2.6. наличие возможности предоставления услуги в дистанционном режиме или на дому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20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3.3. Доля получателей услуг, удовлетворенных доступностью услуг для инвалидов (</w:t>
            </w:r>
            <w:proofErr w:type="gramStart"/>
            <w:r w:rsidRPr="000D58B4">
              <w:rPr>
                <w:b/>
                <w:bCs/>
              </w:rPr>
              <w:t>в</w:t>
            </w:r>
            <w:proofErr w:type="gramEnd"/>
            <w:r w:rsidRPr="000D58B4">
              <w:rPr>
                <w:b/>
                <w:bCs/>
              </w:rPr>
              <w:t xml:space="preserve"> % </w:t>
            </w:r>
            <w:proofErr w:type="gramStart"/>
            <w:r w:rsidRPr="000D58B4">
              <w:rPr>
                <w:b/>
                <w:bCs/>
              </w:rPr>
              <w:t>от</w:t>
            </w:r>
            <w:proofErr w:type="gramEnd"/>
            <w:r w:rsidRPr="000D58B4">
              <w:rPr>
                <w:b/>
                <w:bCs/>
              </w:rPr>
              <w:t xml:space="preserve"> общего числа опрошенных получателей услуг - инвалидов)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99.5085995086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4. Доброжелательность, вежливость работников организации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99.58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99.295154185022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99.735682819383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0D58B4">
              <w:rPr>
                <w:b/>
                <w:bCs/>
              </w:rPr>
              <w:t>в</w:t>
            </w:r>
            <w:proofErr w:type="gramEnd"/>
            <w:r w:rsidRPr="000D58B4">
              <w:rPr>
                <w:b/>
                <w:bCs/>
              </w:rPr>
              <w:t xml:space="preserve"> % </w:t>
            </w:r>
            <w:proofErr w:type="gramStart"/>
            <w:r w:rsidRPr="000D58B4">
              <w:rPr>
                <w:b/>
                <w:bCs/>
              </w:rPr>
              <w:t>от</w:t>
            </w:r>
            <w:proofErr w:type="gramEnd"/>
            <w:r w:rsidRPr="000D58B4">
              <w:rPr>
                <w:b/>
                <w:bCs/>
              </w:rP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99.819494584838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 Удовлетворенность условиями оказания услуг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99.364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99.383259911894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5.2. Доля получателей услуг, удовлетворенных графиком работы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99.295154185022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5.3. Доля получателей услуг, удовлетворенных в целом условиями оказания услуг в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99.383259911894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Статистика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gridSpan w:val="2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 xml:space="preserve">Половая принадлежность </w:t>
            </w:r>
            <w:proofErr w:type="gramStart"/>
            <w:r w:rsidRPr="000D58B4">
              <w:rPr>
                <w:b/>
                <w:bCs/>
              </w:rPr>
              <w:t>опрошенных</w:t>
            </w:r>
            <w:proofErr w:type="gramEnd"/>
            <w:r w:rsidRPr="000D58B4">
              <w:rPr>
                <w:b/>
                <w:bCs/>
              </w:rPr>
              <w:t>, %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Мужской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7.841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Женский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92.159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gridSpan w:val="2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 w:rsidRPr="000D58B4">
              <w:rPr>
                <w:b/>
                <w:bCs/>
              </w:rPr>
              <w:t>Возраст опрошенных получателей услуг, %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14 - 15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1.938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22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lastRenderedPageBreak/>
              <w:t>16 - 18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2.643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30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19 - 20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1.322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15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21 - 24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4.317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49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25 - 30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11.366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129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31 - 40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14.361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163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41 - 50 лет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58.326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662 / 1135</w:t>
            </w:r>
          </w:p>
        </w:tc>
      </w:tr>
      <w:tr w:rsidR="000D69E1" w:rsidTr="00B1481A">
        <w:trPr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50 и старше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6.167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70 / 1135</w:t>
            </w:r>
          </w:p>
        </w:tc>
      </w:tr>
      <w:tr w:rsidR="000D69E1" w:rsidTr="00B1481A">
        <w:trPr>
          <w:gridAfter w:val="1"/>
          <w:tblCellSpacing w:w="190" w:type="dxa"/>
        </w:trPr>
        <w:tc>
          <w:tcPr>
            <w:tcW w:w="7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Опрошенные получатели услуг - инвалиды (% от общего числа опрошенных получателей услуг)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69E1" w:rsidRPr="000D58B4" w:rsidRDefault="000D69E1" w:rsidP="00B1481A">
            <w:pPr>
              <w:spacing w:after="160" w:line="360" w:lineRule="auto"/>
              <w:rPr>
                <w:rFonts w:ascii="Arial" w:eastAsia="Arial" w:hAnsi="Arial" w:cs="Arial"/>
              </w:rPr>
            </w:pPr>
            <w:r>
              <w:t>68.634</w:t>
            </w:r>
          </w:p>
        </w:tc>
      </w:tr>
    </w:tbl>
    <w:p w:rsidR="00A3563C" w:rsidRPr="00F358FC" w:rsidRDefault="00A3563C" w:rsidP="00F358FC">
      <w:pPr>
        <w:outlineLvl w:val="0"/>
        <w:rPr>
          <w:b/>
          <w:sz w:val="28"/>
          <w:lang w:eastAsia="ru-RU"/>
        </w:rPr>
      </w:pPr>
    </w:p>
    <w:sectPr w:rsidR="00A3563C" w:rsidRPr="00F358FC" w:rsidSect="000D69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280E5"/>
    <w:multiLevelType w:val="multilevel"/>
    <w:tmpl w:val="FF52B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D73D3"/>
    <w:multiLevelType w:val="multilevel"/>
    <w:tmpl w:val="527008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F220AF"/>
    <w:multiLevelType w:val="hybridMultilevel"/>
    <w:tmpl w:val="4FBC2E3C"/>
    <w:lvl w:ilvl="0" w:tplc="D09EC5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8FC"/>
    <w:rsid w:val="000D69E1"/>
    <w:rsid w:val="0085315B"/>
    <w:rsid w:val="00A3563C"/>
    <w:rsid w:val="00BE4834"/>
    <w:rsid w:val="00F3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58FC"/>
    <w:pPr>
      <w:ind w:left="720"/>
    </w:pPr>
    <w:rPr>
      <w:szCs w:val="20"/>
      <w:lang/>
    </w:rPr>
  </w:style>
  <w:style w:type="character" w:customStyle="1" w:styleId="a4">
    <w:name w:val="Абзац списка Знак"/>
    <w:link w:val="a3"/>
    <w:uiPriority w:val="34"/>
    <w:locked/>
    <w:rsid w:val="00F358F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2021-03-30T11:14:00Z</dcterms:created>
  <dcterms:modified xsi:type="dcterms:W3CDTF">2021-03-30T11:14:00Z</dcterms:modified>
</cp:coreProperties>
</file>