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C9" w:rsidRPr="000155C9" w:rsidRDefault="000155C9" w:rsidP="000155C9">
      <w:pPr>
        <w:spacing w:after="100" w:afterAutospacing="1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8E3C3C"/>
          <w:spacing w:val="15"/>
          <w:sz w:val="24"/>
          <w:szCs w:val="24"/>
          <w:lang w:eastAsia="ru-RU"/>
        </w:rPr>
      </w:pPr>
      <w:r w:rsidRPr="000155C9">
        <w:rPr>
          <w:rFonts w:ascii="Arial" w:eastAsia="Times New Roman" w:hAnsi="Arial" w:cs="Arial"/>
          <w:b/>
          <w:bCs/>
          <w:caps/>
          <w:color w:val="8E3C3C"/>
          <w:spacing w:val="15"/>
          <w:sz w:val="24"/>
          <w:szCs w:val="24"/>
          <w:lang w:eastAsia="ru-RU"/>
        </w:rPr>
        <w:t>ОТЧЕТ о результатах деятельности муниципального бюджетного учреждения культуры «Белохолуницкий краеведческий музей Кировской области» (полное наименование учреждения в соответствии с уставными документами) и об использовании закрепленного за ним муниципального имущества за 2017 год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Раздел 1 «Общие сведения об учреждении»</w:t>
      </w: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Наименование муниципального бюджетного учреждения с указанием почтового адреса: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Муниципальное бюджетное учреждение культуры «Белохолуницкий краеведческий музей Кировской области», сокращённое наименование МБУК «Белохолуницкий краеведческий музей»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Адрес: 613200, Кировская  область, г. Белая Холуница, ул. </w:t>
      </w:r>
      <w:proofErr w:type="spellStart"/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Усатовой</w:t>
      </w:r>
      <w:proofErr w:type="spellEnd"/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, д. 2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№ и дата приказа о создании учреждения: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Распоряжение администрации Белохолуницкого района Кировской области № 281-р от 15.08.2000 года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№ и дата выдачи свидетельства о государственной регистрации учреждения: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ОГРН № 1024300543255 от 03.12.2011 г.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ИНН 4303003865 КПП 430301001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Устав в новой редакции, утверждённый приказом № 100 управления культуры Белохолуницкого района от 22.11.2011 года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Цели деятельности учреждения (подразделения) в соответствии с федеральными законами, иными нормативными правовыми актами и уставом учреждения (положением подразделения):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Собирание и хранение музейных предметов и музейных коллекций, осуществление просветительской и образовательной деятельности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Виды</w:t>
      </w: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деятельности учреждения, относящиеся к его основным видам деятельности в соответствии с уставом учреждения (положением о филиале):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Учёт и хранение музейных предметов, комплектование, изучение и систематизация музейных фондов, экспозиционно – выставочная деятельность, экскурсионное, лекционное и консультативное обслуживание посетителей музея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Перечень муниципальных услуг (работ), относящихся в соответствии с уставом (положением о филиале) к основным видам деятельности учреждения (филиала), предоставление которых для физических и юридических лиц осуществляется на безвозмездной основе: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обеспечение доступа населения к музейным предметам и музейным коллекциям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Перечень муниципальных услуг (работ), относящихся в соответствии с уставом (положением о филиале) к основным видам деятельности учреждения (филиала), предоставление которых для физических и юридических лиц осуществляется на платной (частично платной) основе: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lastRenderedPageBreak/>
        <w:t>Проведение экскурсий, лекций, консультаций, музейных занятий, работа с фондами, выдача справок, фотокопий документов.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Данные о количественном составе и квалификации сотрудников учреждения, на начало и на конец отчетного года (в случае изменения количества штатных единиц учреждения указываются причины, приведшие к их изменению на конец отчетного периода):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количество штатных единиц учреждения в соответствии со штатным расписанием: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начало отчётного года - 8,5 единиц и конец - 8,5 единиц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количество фактически работающих сотрудников:  8 человек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средняя заработная плата  на начало 2017 года: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сотрудников учреждения – 11756, основного персонала – 12510 руб., руководителя учреждения  – 20492.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средняя заработная плата сотрудников учреждения </w:t>
      </w:r>
      <w:proofErr w:type="gramStart"/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на конец</w:t>
      </w:r>
      <w:proofErr w:type="gramEnd"/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 2017 года: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сотрудников учреждения – 16113 руб., основного персонала – 19281 руб., руководителя учреждения - 22525 руб.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количество  работающих специалистов в разрезе профессиональных квалификационных групп: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4912"/>
        <w:gridCol w:w="2077"/>
        <w:gridCol w:w="2037"/>
      </w:tblGrid>
      <w:tr w:rsidR="000155C9" w:rsidRPr="000155C9" w:rsidTr="000155C9"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n\n</w:t>
            </w:r>
          </w:p>
        </w:tc>
        <w:tc>
          <w:tcPr>
            <w:tcW w:w="6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Данные о количественном составе и квалификации специалистов учреждения</w:t>
            </w:r>
          </w:p>
        </w:tc>
        <w:tc>
          <w:tcPr>
            <w:tcW w:w="5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Отчётный период 2017 г.</w:t>
            </w:r>
          </w:p>
        </w:tc>
      </w:tr>
      <w:tr w:rsidR="000155C9" w:rsidRPr="000155C9" w:rsidTr="000155C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конец</w:t>
            </w:r>
          </w:p>
        </w:tc>
      </w:tr>
      <w:tr w:rsidR="000155C9" w:rsidRPr="000155C9" w:rsidTr="000155C9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Количество специалистов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0155C9" w:rsidRPr="000155C9" w:rsidTr="000155C9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квалификация сотрудников: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высшее педагогическое образование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объем финансового обеспечения муниципального задания учредителя – 2045733,33 руб.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Раздел 2 «Результат деятельности учреждения»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0155C9" w:rsidRPr="000155C9" w:rsidRDefault="000155C9" w:rsidP="000155C9">
      <w:pPr>
        <w:numPr>
          <w:ilvl w:val="0"/>
          <w:numId w:val="1"/>
        </w:numPr>
        <w:spacing w:before="100" w:beforeAutospacing="1" w:after="100" w:afterAutospacing="1"/>
        <w:ind w:left="27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Отчет о выполнении муниципального задания: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3247"/>
        <w:gridCol w:w="1866"/>
        <w:gridCol w:w="600"/>
        <w:gridCol w:w="600"/>
        <w:gridCol w:w="1180"/>
        <w:gridCol w:w="600"/>
        <w:gridCol w:w="600"/>
        <w:gridCol w:w="600"/>
      </w:tblGrid>
      <w:tr w:rsidR="000155C9" w:rsidRPr="000155C9" w:rsidTr="000155C9">
        <w:trPr>
          <w:tblHeader/>
        </w:trPr>
        <w:tc>
          <w:tcPr>
            <w:tcW w:w="250" w:type="pct"/>
            <w:vMerge w:val="restar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00" w:type="pct"/>
            <w:vMerge w:val="restar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600" w:type="pct"/>
            <w:vMerge w:val="restar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Показатель, характеризующий объем муниципальной услуги </w:t>
            </w:r>
          </w:p>
        </w:tc>
        <w:tc>
          <w:tcPr>
            <w:tcW w:w="1050" w:type="pct"/>
            <w:gridSpan w:val="3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Отчетный период 2017 год</w:t>
            </w:r>
          </w:p>
        </w:tc>
        <w:tc>
          <w:tcPr>
            <w:tcW w:w="1100" w:type="pct"/>
            <w:gridSpan w:val="3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Плановый период три года</w:t>
            </w:r>
          </w:p>
        </w:tc>
      </w:tr>
      <w:tr w:rsidR="000155C9" w:rsidRPr="000155C9" w:rsidTr="000155C9">
        <w:trPr>
          <w:tblHeader/>
        </w:trPr>
        <w:tc>
          <w:tcPr>
            <w:tcW w:w="0" w:type="auto"/>
            <w:vMerge/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0155C9" w:rsidRPr="000155C9" w:rsidTr="000155C9">
        <w:trPr>
          <w:tblHeader/>
        </w:trPr>
        <w:tc>
          <w:tcPr>
            <w:tcW w:w="250" w:type="pct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0" w:type="pct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Услуги по предоставлению доступа населения музейным предметам и музейным коллекциям и сохранению музейных фондов</w:t>
            </w:r>
          </w:p>
        </w:tc>
        <w:tc>
          <w:tcPr>
            <w:tcW w:w="600" w:type="pct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3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18010</w:t>
            </w:r>
          </w:p>
        </w:tc>
        <w:tc>
          <w:tcPr>
            <w:tcW w:w="3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18760</w:t>
            </w:r>
          </w:p>
        </w:tc>
        <w:tc>
          <w:tcPr>
            <w:tcW w:w="4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+750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17259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18010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</w:tr>
    </w:tbl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2.Отчет о достижении целевых индикаторов и показателей выполнения ведомственных, муниципальных целевых программ за отчетный период, предшествующий составлению Плана (по каждой программе отдельно)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569"/>
        <w:gridCol w:w="1160"/>
        <w:gridCol w:w="600"/>
        <w:gridCol w:w="600"/>
        <w:gridCol w:w="1259"/>
        <w:gridCol w:w="600"/>
        <w:gridCol w:w="634"/>
        <w:gridCol w:w="759"/>
      </w:tblGrid>
      <w:tr w:rsidR="000155C9" w:rsidRPr="000155C9" w:rsidTr="000155C9">
        <w:trPr>
          <w:tblHeader/>
        </w:trPr>
        <w:tc>
          <w:tcPr>
            <w:tcW w:w="250" w:type="pct"/>
            <w:vMerge w:val="restar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00" w:type="pct"/>
            <w:vMerge w:val="restar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Целевые индикаторы и показатели выполнения ведомственных, муниципальных целевых программ</w:t>
            </w:r>
          </w:p>
        </w:tc>
        <w:tc>
          <w:tcPr>
            <w:tcW w:w="600" w:type="pct"/>
            <w:vMerge w:val="restar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3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Отчетный период 2017 год</w:t>
            </w:r>
          </w:p>
        </w:tc>
        <w:tc>
          <w:tcPr>
            <w:tcW w:w="1100" w:type="pct"/>
            <w:gridSpan w:val="3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Плановый период три года</w:t>
            </w:r>
          </w:p>
        </w:tc>
      </w:tr>
      <w:tr w:rsidR="000155C9" w:rsidRPr="000155C9" w:rsidTr="000155C9">
        <w:trPr>
          <w:tblHeader/>
        </w:trPr>
        <w:tc>
          <w:tcPr>
            <w:tcW w:w="0" w:type="auto"/>
            <w:vMerge/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0155C9" w:rsidRPr="000155C9" w:rsidTr="000155C9">
        <w:trPr>
          <w:tblHeader/>
        </w:trPr>
        <w:tc>
          <w:tcPr>
            <w:tcW w:w="250" w:type="pct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Количество посетителей в год</w:t>
            </w:r>
          </w:p>
        </w:tc>
        <w:tc>
          <w:tcPr>
            <w:tcW w:w="600" w:type="pct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3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18010</w:t>
            </w:r>
          </w:p>
        </w:tc>
        <w:tc>
          <w:tcPr>
            <w:tcW w:w="3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18760</w:t>
            </w:r>
          </w:p>
        </w:tc>
        <w:tc>
          <w:tcPr>
            <w:tcW w:w="4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17259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18010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</w:tr>
      <w:tr w:rsidR="000155C9" w:rsidRPr="000155C9" w:rsidTr="000155C9">
        <w:trPr>
          <w:tblHeader/>
        </w:trPr>
        <w:tc>
          <w:tcPr>
            <w:tcW w:w="250" w:type="pct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pct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Количество единиц основного фонда</w:t>
            </w:r>
          </w:p>
        </w:tc>
        <w:tc>
          <w:tcPr>
            <w:tcW w:w="600" w:type="pct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7147</w:t>
            </w:r>
          </w:p>
        </w:tc>
        <w:tc>
          <w:tcPr>
            <w:tcW w:w="3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7154</w:t>
            </w:r>
          </w:p>
        </w:tc>
        <w:tc>
          <w:tcPr>
            <w:tcW w:w="40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7117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7147</w:t>
            </w:r>
          </w:p>
        </w:tc>
        <w:tc>
          <w:tcPr>
            <w:tcW w:w="350" w:type="pct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7177</w:t>
            </w:r>
          </w:p>
        </w:tc>
      </w:tr>
    </w:tbl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3. Краткая информация о выполнении мероприятий в рамках целевых программ:   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рамках муниципальной программы «Развитие культуры Белохолуницкого района на 2014-2018 годы» выполнено муниципальное задание на сумму 1942633,95  рублей из муниципального бюджета. В 2017 году число посещений составило 18760 человек; проведено 403 мероприятия. В течение года работало 25 выставки, музейных предметов основного фонда составило - 7154 ед.,  научно-вспомогательного фонда – 3351 ед. Платные услуги МБУК «Белохолуницкий краеведческий музей» в 2017 году составили  103 990руб.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течение года на средства от платных услуг приобрели:</w:t>
      </w:r>
    </w:p>
    <w:p w:rsidR="000155C9" w:rsidRPr="000155C9" w:rsidRDefault="000155C9" w:rsidP="000155C9">
      <w:pPr>
        <w:numPr>
          <w:ilvl w:val="0"/>
          <w:numId w:val="2"/>
        </w:numPr>
        <w:spacing w:before="100" w:beforeAutospacing="1" w:after="100" w:afterAutospacing="1"/>
        <w:ind w:left="27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Компьютер: 27800 руб.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4. Отчет о достижении показателей финансового состояния учреждения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tbl>
      <w:tblPr>
        <w:tblW w:w="12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8"/>
        <w:gridCol w:w="1417"/>
        <w:gridCol w:w="1676"/>
        <w:gridCol w:w="1420"/>
        <w:gridCol w:w="1294"/>
      </w:tblGrid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Начало отчетного года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Конец отчетного  года</w:t>
            </w:r>
          </w:p>
        </w:tc>
        <w:tc>
          <w:tcPr>
            <w:tcW w:w="142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Отклонение</w:t>
            </w:r>
            <w:proofErr w:type="gramStart"/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(+ / -)</w:t>
            </w:r>
            <w:proofErr w:type="gramEnd"/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 %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I. Нефинансовые активы, всего</w:t>
            </w: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10352194,74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10379534,74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1.1. Общая балансовая стоимость недвижимого муниципального имущества, всего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10 000 000,00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10 000 000,00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      в том числе: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1.1.1. Стоимость имущества, закрепленного собственником имущества за  учреждением на праве оперативного управления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10 000 000,00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10 000 000,00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1.1.2. Стоимость имущества, приобретенного учреждением (подразделением) за счет выделенных учредителем учреждения средств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1.1.3. Стоимость имущества, приобретенного   учреждением (подразделением) за счет доходов, полученных от  иной приносящей доход деятельности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27446,82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37120,00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1.1.4. Остаточная стоимость недвижимого муниципального имущества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1.2. Общая балансовая стоимость движимого муниципального имущества, всего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352194,74 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379534,74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      в том числе: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1.2.1. Общая балансовая стоимость  особо ценного движимого имущества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1.2.2. Остаточная стоимость особо ценного движимого имущества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1.2.3. Общая балансовая стоимость  движимого имущества, приобретенного учреждением (подразделением) за счет доходов, полученных от  иной приносящей доход деятельности</w:t>
            </w:r>
          </w:p>
        </w:tc>
        <w:tc>
          <w:tcPr>
            <w:tcW w:w="142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27446,82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37120,00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1.2.4. Остаточная стоимость  движимого имущества, приобретенного муниципальным  учреждением (подразделением) за счет доходов, полученных от иной приносящей доход деятельности</w:t>
            </w:r>
          </w:p>
        </w:tc>
        <w:tc>
          <w:tcPr>
            <w:tcW w:w="142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1.3. Сумма выявленных недостач и хищений денежных средств и материальных ценностей</w:t>
            </w:r>
          </w:p>
        </w:tc>
        <w:tc>
          <w:tcPr>
            <w:tcW w:w="142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1.4. 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142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II. Финансовые активы, всего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2.1. Дебиторская задолженность по доходам муниципального района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2.2. Дебиторская задолженность по выданным авансам, полученным за счет средств муниципального района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2.3. Дебиторская задолженность по выданным авансам за счет доходов, полученных от  иной приносящей доход деятельности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III. Обязательства, всего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111538,71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242498,68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3.1. Просроченная кредиторская задолженность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3.2. Кредиторская задолженность по расчетам с работниками учреждения, поставщиками и подрядчиками за счет средств муниципального бюджета, всего: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111538,71 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242498,68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      в том числе: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3.2.1. по оплате труда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46402,25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108439,86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3.2.2.  по начислениям на выплаты по оплате труда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65136,46 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41871,76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3.2.3.  по оплате услуг связи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3.2.4. по оплате транспортных услуг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3.2.5. по оплате коммунальных услуг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92187,06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3.2.6. по оплате услуг по содержанию имущества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3.2.7. по оплате прочих услуг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3.2.8. по приобретению основных средств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3.2.9. по приобретению нематериальных активов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3.2.10. по приобретению непроизведённых активов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3.2.11. по приобретению материальных запасов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3.2.12. по оплате прочих расходов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3.2.12. по платежам в бюджет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 Кредиторская задолженность по расчетам с поставщиками и подрядчиками за счет доходов, полученных от иной приносящей доход деятельности, всего: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      в том числе: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3.3.1. по оплате труда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3.3.2.  по начислениям на выплаты по оплате труда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3.3.3.  по оплате услуг связи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3.3.4. по оплате транспортных услуг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3.3.5. по оплате коммунальных услуг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3.3.6. по оплате услуг по содержанию имущества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3.3.7. по оплате прочих услуг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3.3.8. по приобретению основных средств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3.3.9. по приобретению нематериальных активов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3.3.10. по приобретению непроизведённых активов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3.3.11. по приобретению материальных запасов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3.3.12. по оплате прочих расходов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3.3.13. по платежам в бюджет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IV. Дополнительные сведения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4.1. суммы доходов, полученных учреждением от оказания платных услуг (выполнения работ)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87435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103990,00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4.2. Цены на платные услуги (средневзвешенная цена), оказываемые потребителям в динамике в течение отчетного периода: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на 1 января,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 апреля,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 октября отчетного года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на 1 января года следующего за отчетным периодом</w:t>
            </w: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31руб. в течение года цена не менялась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4.3. Общее количество потребителей, воспользовавшихся услугами (работами) учреждения, в том числе: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4.3.1. потребители муниципальных услуг, оказываемых на частично-платной основе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4.3.2. потребители платных услуг</w:t>
            </w: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18760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81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4.4. количество заявлений (жалоб) потребителей и принятые по результатам их рассмотрения меры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4-. Отчет о  достижении показателей по поступлениям и выплатам учреждения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-</w:t>
      </w:r>
    </w:p>
    <w:tbl>
      <w:tblPr>
        <w:tblW w:w="6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0155C9" w:rsidRPr="000155C9" w:rsidTr="000155C9">
        <w:tc>
          <w:tcPr>
            <w:tcW w:w="61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Показатели по поступлениям и выплатам учреждения</w:t>
            </w:r>
          </w:p>
        </w:tc>
      </w:tr>
    </w:tbl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tbl>
      <w:tblPr>
        <w:tblW w:w="12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3122"/>
        <w:gridCol w:w="1395"/>
        <w:gridCol w:w="1442"/>
        <w:gridCol w:w="2260"/>
      </w:tblGrid>
      <w:tr w:rsidR="000155C9" w:rsidRPr="000155C9" w:rsidTr="000155C9">
        <w:tc>
          <w:tcPr>
            <w:tcW w:w="4515" w:type="dxa"/>
            <w:vMerge w:val="restart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40" w:type="dxa"/>
            <w:vMerge w:val="restart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Код по бюджетной классификации операции сектора государственного  управления</w:t>
            </w:r>
          </w:p>
        </w:tc>
        <w:tc>
          <w:tcPr>
            <w:tcW w:w="1545" w:type="dxa"/>
            <w:vMerge w:val="restart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620" w:type="dxa"/>
            <w:vMerge w:val="restart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155C9" w:rsidRPr="000155C9" w:rsidTr="000155C9">
        <w:tc>
          <w:tcPr>
            <w:tcW w:w="0" w:type="auto"/>
            <w:vMerge/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операции по лицевым счетам, открытым в органах  казначейства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Остаток средств на начало отчетного года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118,77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Поступления, всего: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2149723,33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2046623,95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155C9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субсидий на выполнение муниципального  задания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2045733,33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1942633,95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целевых субсидий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 xml:space="preserve">Суммы публичных обязательств перед физическим лицом, подлежащих исполнению в денежной форме, </w:t>
            </w:r>
            <w:proofErr w:type="gramStart"/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полномочия</w:t>
            </w:r>
            <w:proofErr w:type="gramEnd"/>
            <w:r w:rsidRPr="000155C9">
              <w:rPr>
                <w:rFonts w:eastAsia="Times New Roman"/>
                <w:sz w:val="24"/>
                <w:szCs w:val="24"/>
                <w:lang w:eastAsia="ru-RU"/>
              </w:rPr>
              <w:t xml:space="preserve"> по исполнению которых от имени администрации района передаются в установленном порядке учреждению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Поступлений от оказания учреждением (филиалом) муниципальных услуг (выполнения работ), предоставление которых для физических и юридических лиц осуществляется на платной (частично платной) основе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Услуга № 1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Услуга № 2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Поступления от иной приносящей доход деятельности, всего: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103990,00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103990,00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Остаток средств на конец отчетного года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Выплаты, всего: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2149723,33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2046742,72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Оплата труда и начисления на выплаты по оплате труда, всего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1689852,33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1689851,10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1263320,40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1263319,72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425591,93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425591,38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Оплата работ, услуг, всего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386868,33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283888,95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из них: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14064,73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1406473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1702,18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365603,60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262624,22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Оплата отопления и технологических нужд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2234001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236837,60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146476,20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Оплата потребления электроэнергии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2234002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117131,12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106936,93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Оплата водоснабжения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2234003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5484,34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4505,28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Оплата водоотведение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2234004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6150,54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4705,81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на проведение капитального ремонта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на проведение текущего ремонта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на проведение реставрационных работ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 xml:space="preserve">на выполнение работ, оказание услуг по </w:t>
            </w:r>
            <w:proofErr w:type="gramStart"/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противопожарным</w:t>
            </w:r>
            <w:proofErr w:type="gramEnd"/>
            <w:r w:rsidRPr="000155C9">
              <w:rPr>
                <w:rFonts w:eastAsia="Times New Roman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услуги по поставке периодических изданий для комплектования книжного фонда библиотек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Безвозмездные перечисления организациям, всего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Безвозмездные перечисления  муниципальным организациям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Социальное обеспечение, всего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2281,88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2281,88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Поступление нефинансовых активов, всего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70720,79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70720,79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37120,00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37120,00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Сценическо-постановочные средства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библиотечный фонд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предметы музейного фонда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37120,00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37120,00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Увеличение стоимости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нематериальных активов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 xml:space="preserve">Увеличение стоимости </w:t>
            </w:r>
            <w:r w:rsidRPr="000155C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непроизводственных активов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33600,79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33600,79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Поступление финансовых активов, всего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234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155C9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0155C9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451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Объем публичных обязательств, всего</w:t>
            </w:r>
          </w:p>
        </w:tc>
        <w:tc>
          <w:tcPr>
            <w:tcW w:w="234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0155C9" w:rsidRPr="000155C9" w:rsidRDefault="000155C9" w:rsidP="000155C9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0155C9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Раздел 3 «Об использовании имущества, закрепленного за учреждением»</w:t>
      </w:r>
    </w:p>
    <w:tbl>
      <w:tblPr>
        <w:tblW w:w="12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1470"/>
        <w:gridCol w:w="1676"/>
        <w:gridCol w:w="1753"/>
        <w:gridCol w:w="1236"/>
      </w:tblGrid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Начало отчетного года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Конец отчетного  года</w:t>
            </w:r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Отклонение</w:t>
            </w:r>
            <w:proofErr w:type="gramStart"/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(+ / -)</w:t>
            </w:r>
            <w:proofErr w:type="gramEnd"/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 %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Общая балансовая и остаточная стоимость недвижимого имущества, и особо ценного движимого имущества находящегося у учреждения на праве оперативного управления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10000000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10 000 000 </w:t>
            </w:r>
          </w:p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Общая балансовая и остаточная стоимость недвижимого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Общая балансовая и остаточная стоимость недвижимого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Общая балансовая и остаточная стоимость особо ценного движимого имущества, находящегося у учреждения на праве оперативного управления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Общая балансовая и остаточная стоимость особо ценного 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Общая балансовая и остаточная стоимость особо ценного 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Общая балансовая и остаточная стоимость недвижимого имущества, особо ценного  движимого имущества  приобретенного учреждением в отчетном году за счет средств, муниципального района, выделенных учреждению на указанные цели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общая балансовая и остаточная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 xml:space="preserve">общая балансовая и остаточная стоимость особо ценного </w:t>
            </w:r>
            <w:r w:rsidRPr="000155C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движимого имущества, находящегося у учреждения на праве оперативного управления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Общая площадь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629,7 </w:t>
            </w:r>
            <w:proofErr w:type="spellStart"/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общая площадь объектов недвижимого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106,7 </w:t>
            </w:r>
            <w:proofErr w:type="spellStart"/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количество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0" w:type="dxa"/>
            <w:vAlign w:val="center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155C9" w:rsidRPr="000155C9" w:rsidTr="000155C9">
        <w:tc>
          <w:tcPr>
            <w:tcW w:w="643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sz w:val="24"/>
                <w:szCs w:val="24"/>
                <w:lang w:eastAsia="ru-RU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1485" w:type="dxa"/>
            <w:hideMark/>
          </w:tcPr>
          <w:p w:rsidR="000155C9" w:rsidRPr="000155C9" w:rsidRDefault="000155C9" w:rsidP="000155C9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155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5C9" w:rsidRPr="000155C9" w:rsidRDefault="000155C9" w:rsidP="000155C9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00BA4" w:rsidRDefault="00500BA4">
      <w:bookmarkStart w:id="0" w:name="_GoBack"/>
      <w:bookmarkEnd w:id="0"/>
    </w:p>
    <w:sectPr w:rsidR="00500BA4" w:rsidSect="00CB1897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6048"/>
    <w:multiLevelType w:val="multilevel"/>
    <w:tmpl w:val="E7E8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42800"/>
    <w:multiLevelType w:val="multilevel"/>
    <w:tmpl w:val="8ED4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BB"/>
    <w:rsid w:val="000155C9"/>
    <w:rsid w:val="00430FBB"/>
    <w:rsid w:val="004358E0"/>
    <w:rsid w:val="004544B1"/>
    <w:rsid w:val="00500BA4"/>
    <w:rsid w:val="005702B3"/>
    <w:rsid w:val="00955E44"/>
    <w:rsid w:val="00C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2B3"/>
  </w:style>
  <w:style w:type="paragraph" w:styleId="1">
    <w:name w:val="heading 1"/>
    <w:basedOn w:val="a"/>
    <w:link w:val="10"/>
    <w:uiPriority w:val="1"/>
    <w:qFormat/>
    <w:rsid w:val="005702B3"/>
    <w:pPr>
      <w:spacing w:before="216"/>
      <w:ind w:left="113" w:right="452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5702B3"/>
    <w:pPr>
      <w:ind w:left="20" w:right="456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5702B3"/>
    <w:pPr>
      <w:spacing w:before="21"/>
      <w:ind w:left="568" w:hanging="45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702B3"/>
    <w:pPr>
      <w:spacing w:line="205" w:lineRule="exact"/>
      <w:ind w:left="106"/>
    </w:pPr>
  </w:style>
  <w:style w:type="character" w:customStyle="1" w:styleId="10">
    <w:name w:val="Заголовок 1 Знак"/>
    <w:basedOn w:val="a0"/>
    <w:link w:val="1"/>
    <w:uiPriority w:val="1"/>
    <w:rsid w:val="005702B3"/>
    <w:rPr>
      <w:rFonts w:ascii="Calibri" w:hAnsi="Calibri" w:cs="Calibri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5702B3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02B3"/>
    <w:rPr>
      <w:rFonts w:ascii="Calibri" w:hAnsi="Calibri" w:cs="Calibri"/>
      <w:b/>
      <w:bCs/>
      <w:sz w:val="26"/>
      <w:szCs w:val="26"/>
    </w:rPr>
  </w:style>
  <w:style w:type="paragraph" w:styleId="11">
    <w:name w:val="toc 1"/>
    <w:basedOn w:val="a"/>
    <w:uiPriority w:val="1"/>
    <w:qFormat/>
    <w:rsid w:val="005702B3"/>
    <w:pPr>
      <w:spacing w:before="255"/>
      <w:ind w:left="113"/>
    </w:pPr>
  </w:style>
  <w:style w:type="paragraph" w:styleId="a3">
    <w:name w:val="Title"/>
    <w:basedOn w:val="a"/>
    <w:link w:val="a4"/>
    <w:uiPriority w:val="1"/>
    <w:qFormat/>
    <w:rsid w:val="005702B3"/>
    <w:pPr>
      <w:ind w:left="458" w:right="456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702B3"/>
    <w:rPr>
      <w:rFonts w:ascii="Calibri" w:hAnsi="Calibri" w:cs="Calibri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702B3"/>
    <w:pPr>
      <w:ind w:left="113"/>
    </w:pPr>
  </w:style>
  <w:style w:type="character" w:customStyle="1" w:styleId="a6">
    <w:name w:val="Основной текст Знак"/>
    <w:basedOn w:val="a0"/>
    <w:link w:val="a5"/>
    <w:uiPriority w:val="1"/>
    <w:rsid w:val="005702B3"/>
    <w:rPr>
      <w:rFonts w:ascii="Calibri" w:hAnsi="Calibri" w:cs="Calibri"/>
    </w:rPr>
  </w:style>
  <w:style w:type="paragraph" w:styleId="a7">
    <w:name w:val="List Paragraph"/>
    <w:basedOn w:val="a"/>
    <w:uiPriority w:val="1"/>
    <w:qFormat/>
    <w:rsid w:val="005702B3"/>
    <w:pPr>
      <w:ind w:left="113"/>
    </w:pPr>
  </w:style>
  <w:style w:type="paragraph" w:styleId="a8">
    <w:name w:val="Normal (Web)"/>
    <w:basedOn w:val="a"/>
    <w:uiPriority w:val="99"/>
    <w:unhideWhenUsed/>
    <w:rsid w:val="00430FBB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0FBB"/>
    <w:rPr>
      <w:b/>
      <w:bCs/>
    </w:rPr>
  </w:style>
  <w:style w:type="character" w:styleId="aa">
    <w:name w:val="Emphasis"/>
    <w:basedOn w:val="a0"/>
    <w:uiPriority w:val="20"/>
    <w:qFormat/>
    <w:rsid w:val="00430F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2B3"/>
  </w:style>
  <w:style w:type="paragraph" w:styleId="1">
    <w:name w:val="heading 1"/>
    <w:basedOn w:val="a"/>
    <w:link w:val="10"/>
    <w:uiPriority w:val="1"/>
    <w:qFormat/>
    <w:rsid w:val="005702B3"/>
    <w:pPr>
      <w:spacing w:before="216"/>
      <w:ind w:left="113" w:right="452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5702B3"/>
    <w:pPr>
      <w:ind w:left="20" w:right="456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5702B3"/>
    <w:pPr>
      <w:spacing w:before="21"/>
      <w:ind w:left="568" w:hanging="45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702B3"/>
    <w:pPr>
      <w:spacing w:line="205" w:lineRule="exact"/>
      <w:ind w:left="106"/>
    </w:pPr>
  </w:style>
  <w:style w:type="character" w:customStyle="1" w:styleId="10">
    <w:name w:val="Заголовок 1 Знак"/>
    <w:basedOn w:val="a0"/>
    <w:link w:val="1"/>
    <w:uiPriority w:val="1"/>
    <w:rsid w:val="005702B3"/>
    <w:rPr>
      <w:rFonts w:ascii="Calibri" w:hAnsi="Calibri" w:cs="Calibri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5702B3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02B3"/>
    <w:rPr>
      <w:rFonts w:ascii="Calibri" w:hAnsi="Calibri" w:cs="Calibri"/>
      <w:b/>
      <w:bCs/>
      <w:sz w:val="26"/>
      <w:szCs w:val="26"/>
    </w:rPr>
  </w:style>
  <w:style w:type="paragraph" w:styleId="11">
    <w:name w:val="toc 1"/>
    <w:basedOn w:val="a"/>
    <w:uiPriority w:val="1"/>
    <w:qFormat/>
    <w:rsid w:val="005702B3"/>
    <w:pPr>
      <w:spacing w:before="255"/>
      <w:ind w:left="113"/>
    </w:pPr>
  </w:style>
  <w:style w:type="paragraph" w:styleId="a3">
    <w:name w:val="Title"/>
    <w:basedOn w:val="a"/>
    <w:link w:val="a4"/>
    <w:uiPriority w:val="1"/>
    <w:qFormat/>
    <w:rsid w:val="005702B3"/>
    <w:pPr>
      <w:ind w:left="458" w:right="456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702B3"/>
    <w:rPr>
      <w:rFonts w:ascii="Calibri" w:hAnsi="Calibri" w:cs="Calibri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702B3"/>
    <w:pPr>
      <w:ind w:left="113"/>
    </w:pPr>
  </w:style>
  <w:style w:type="character" w:customStyle="1" w:styleId="a6">
    <w:name w:val="Основной текст Знак"/>
    <w:basedOn w:val="a0"/>
    <w:link w:val="a5"/>
    <w:uiPriority w:val="1"/>
    <w:rsid w:val="005702B3"/>
    <w:rPr>
      <w:rFonts w:ascii="Calibri" w:hAnsi="Calibri" w:cs="Calibri"/>
    </w:rPr>
  </w:style>
  <w:style w:type="paragraph" w:styleId="a7">
    <w:name w:val="List Paragraph"/>
    <w:basedOn w:val="a"/>
    <w:uiPriority w:val="1"/>
    <w:qFormat/>
    <w:rsid w:val="005702B3"/>
    <w:pPr>
      <w:ind w:left="113"/>
    </w:pPr>
  </w:style>
  <w:style w:type="paragraph" w:styleId="a8">
    <w:name w:val="Normal (Web)"/>
    <w:basedOn w:val="a"/>
    <w:uiPriority w:val="99"/>
    <w:unhideWhenUsed/>
    <w:rsid w:val="00430FBB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0FBB"/>
    <w:rPr>
      <w:b/>
      <w:bCs/>
    </w:rPr>
  </w:style>
  <w:style w:type="character" w:styleId="aa">
    <w:name w:val="Emphasis"/>
    <w:basedOn w:val="a0"/>
    <w:uiPriority w:val="20"/>
    <w:qFormat/>
    <w:rsid w:val="00430F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2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4E7ED"/>
                            <w:left w:val="single" w:sz="6" w:space="15" w:color="E4E7ED"/>
                            <w:bottom w:val="single" w:sz="6" w:space="15" w:color="E4E7ED"/>
                            <w:right w:val="single" w:sz="6" w:space="15" w:color="E4E7ED"/>
                          </w:divBdr>
                          <w:divsChild>
                            <w:div w:id="19130826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52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2026-04-10T07:06:00Z</dcterms:created>
  <dcterms:modified xsi:type="dcterms:W3CDTF">2026-04-10T07:06:00Z</dcterms:modified>
</cp:coreProperties>
</file>